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5"/>
        <w:spacing w:before="120" w:beforeAutospacing="0" w:after="120" w:afterAutospacing="0" w:line="360" w:lineRule="auto"/>
        <w:rPr>
          <w:highlight w:val="none"/>
        </w:rPr>
      </w:pPr>
      <w:r>
        <w:rPr>
          <w:highlight w:val="none"/>
        </w:rPr>
      </w:r>
      <w:r/>
    </w:p>
    <w:p>
      <w:pPr>
        <w:pStyle w:val="645"/>
        <w:jc w:val="center"/>
        <w:spacing w:before="120" w:beforeAutospacing="0" w:after="120" w:afterAutospacing="0" w:line="360" w:lineRule="auto"/>
        <w:rPr>
          <w:highlight w:val="none"/>
        </w:rPr>
      </w:pPr>
      <w:r>
        <w:rPr>
          <w:rFonts w:ascii="Arial" w:hAnsi="Arial" w:cs="Arial"/>
          <w:b/>
          <w:color w:val="000000"/>
          <w:sz w:val="84"/>
          <w:szCs w:val="84"/>
          <w:highlight w:val="none"/>
        </w:rPr>
        <w:t xml:space="preserve">招 标 文 件</w:t>
      </w:r>
      <w:r/>
    </w:p>
    <w:p>
      <w:pPr>
        <w:pStyle w:val="645"/>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45"/>
        <w:jc w:val="center"/>
        <w:spacing w:before="120" w:beforeAutospacing="0" w:after="120" w:afterAutospacing="0" w:line="360" w:lineRule="auto"/>
        <w:rPr>
          <w:rFonts w:ascii="Arial" w:hAnsi="Arial" w:cs="Arial"/>
          <w:b/>
          <w:color w:val="000000"/>
          <w:sz w:val="32"/>
          <w:szCs w:val="32"/>
          <w:highlight w:val="none"/>
        </w:rPr>
      </w:pPr>
      <w:r>
        <w:rPr>
          <w:rFonts w:ascii="Arial" w:hAnsi="Arial" w:cs="Arial"/>
          <w:b/>
          <w:color w:val="000000"/>
          <w:sz w:val="32"/>
          <w:szCs w:val="32"/>
          <w:highlight w:val="none"/>
        </w:rPr>
      </w:r>
      <w:r/>
    </w:p>
    <w:p>
      <w:pPr>
        <w:pStyle w:val="645"/>
        <w:jc w:val="both"/>
        <w:spacing w:before="120" w:beforeAutospacing="0" w:after="120" w:afterAutospacing="0" w:line="360" w:lineRule="auto"/>
        <w:rPr>
          <w:rFonts w:hint="eastAsia" w:ascii="Arial" w:hAnsi="Arial" w:cs="Arial"/>
          <w:b/>
          <w:color w:val="000000"/>
          <w:sz w:val="32"/>
          <w:szCs w:val="32"/>
          <w:highlight w:val="none"/>
          <w:lang w:val="en-US" w:eastAsia="zh-CN"/>
        </w:rPr>
      </w:pPr>
      <w:r>
        <w:rPr>
          <w:rFonts w:ascii="Arial" w:hAnsi="Arial" w:cs="Arial"/>
          <w:b/>
          <w:color w:val="000000"/>
          <w:sz w:val="32"/>
          <w:szCs w:val="32"/>
          <w:highlight w:val="none"/>
        </w:rPr>
        <w:t xml:space="preserve">项目名称：</w:t>
      </w:r>
      <w:r>
        <w:rPr>
          <w:rFonts w:hint="eastAsia" w:ascii="Arial" w:hAnsi="Arial" w:cs="Arial"/>
          <w:b/>
          <w:color w:val="000000"/>
          <w:sz w:val="32"/>
          <w:szCs w:val="32"/>
          <w:highlight w:val="none"/>
          <w:lang w:val="en-US" w:eastAsia="zh-CN"/>
        </w:rPr>
        <w:t xml:space="preserve">江苏滨海港经济开发区区域安全风险评估项目</w:t>
      </w:r>
      <w:r/>
    </w:p>
    <w:p>
      <w:pPr>
        <w:pStyle w:val="645"/>
        <w:jc w:val="both"/>
        <w:spacing w:before="120" w:beforeAutospacing="0" w:after="120" w:afterAutospacing="0" w:line="360" w:lineRule="auto"/>
        <w:rPr>
          <w:rFonts w:hint="default" w:ascii="Arial" w:hAnsi="Arial" w:cs="Arial"/>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项目编号：</w:t>
      </w:r>
      <w:r>
        <w:rPr>
          <w:rFonts w:hint="eastAsia" w:ascii="Arial" w:hAnsi="Arial" w:cs="Arial"/>
          <w:b w:val="0"/>
          <w:bCs/>
          <w:color w:val="000000"/>
          <w:sz w:val="32"/>
          <w:szCs w:val="32"/>
          <w:highlight w:val="none"/>
          <w:lang w:val="en-US" w:eastAsia="zh-CN"/>
        </w:rPr>
        <w:t xml:space="preserve">JSZC-320922-YCSH-G2025-0021</w:t>
      </w:r>
      <w:r/>
    </w:p>
    <w:p>
      <w:pPr>
        <w:pStyle w:val="645"/>
        <w:spacing w:beforeAutospacing="0" w:afterAutospacing="0" w:line="360" w:lineRule="auto"/>
        <w:rPr>
          <w:highlight w:val="none"/>
        </w:rPr>
      </w:pPr>
      <w:r>
        <w:rPr>
          <w:highlight w:val="none"/>
        </w:rPr>
      </w:r>
      <w:r/>
    </w:p>
    <w:p>
      <w:pPr>
        <w:pStyle w:val="645"/>
        <w:spacing w:beforeAutospacing="0" w:afterAutospacing="0" w:line="360" w:lineRule="auto"/>
        <w:rPr>
          <w:highlight w:val="none"/>
        </w:rPr>
      </w:pPr>
      <w:r>
        <w:rPr>
          <w:highlight w:val="none"/>
        </w:rPr>
      </w:r>
      <w:r/>
    </w:p>
    <w:p>
      <w:pPr>
        <w:pStyle w:val="645"/>
        <w:spacing w:beforeAutospacing="0" w:afterAutospacing="0" w:line="360" w:lineRule="auto"/>
        <w:rPr>
          <w:highlight w:val="none"/>
        </w:rPr>
      </w:pPr>
      <w:r>
        <w:rPr>
          <w:highlight w:val="none"/>
        </w:rPr>
      </w:r>
      <w:r/>
    </w:p>
    <w:p>
      <w:pPr>
        <w:pStyle w:val="645"/>
        <w:spacing w:beforeAutospacing="0" w:afterAutospacing="0" w:line="360" w:lineRule="auto"/>
        <w:rPr>
          <w:highlight w:val="none"/>
        </w:rPr>
      </w:pPr>
      <w:r>
        <w:rPr>
          <w:highlight w:val="none"/>
        </w:rPr>
      </w:r>
      <w:r/>
    </w:p>
    <w:p>
      <w:pPr>
        <w:pStyle w:val="645"/>
        <w:spacing w:beforeAutospacing="0" w:afterAutospacing="0" w:line="360" w:lineRule="auto"/>
        <w:rPr>
          <w:highlight w:val="none"/>
        </w:rPr>
      </w:pPr>
      <w:r>
        <w:rPr>
          <w:highlight w:val="none"/>
        </w:rPr>
      </w:r>
      <w:r/>
    </w:p>
    <w:p>
      <w:pPr>
        <w:pStyle w:val="645"/>
        <w:spacing w:beforeAutospacing="0" w:afterAutospacing="0" w:line="360" w:lineRule="auto"/>
        <w:rPr>
          <w:highlight w:val="none"/>
        </w:rPr>
      </w:pPr>
      <w:r>
        <w:rPr>
          <w:highlight w:val="none"/>
        </w:rPr>
      </w:r>
      <w:r/>
    </w:p>
    <w:p>
      <w:pPr>
        <w:pStyle w:val="645"/>
        <w:spacing w:beforeAutospacing="0" w:afterAutospacing="0" w:line="360" w:lineRule="auto"/>
        <w:rPr>
          <w:highlight w:val="none"/>
        </w:rPr>
      </w:pPr>
      <w:r>
        <w:rPr>
          <w:highlight w:val="none"/>
        </w:rPr>
      </w:r>
      <w:r/>
    </w:p>
    <w:p>
      <w:pPr>
        <w:pStyle w:val="645"/>
        <w:spacing w:beforeAutospacing="0" w:afterAutospacing="0" w:line="360" w:lineRule="auto"/>
        <w:rPr>
          <w:highlight w:val="none"/>
        </w:rPr>
      </w:pPr>
      <w:r>
        <w:rPr>
          <w:highlight w:val="none"/>
        </w:rPr>
      </w:r>
      <w:r/>
    </w:p>
    <w:p>
      <w:pPr>
        <w:pStyle w:val="645"/>
        <w:spacing w:beforeAutospacing="0" w:afterAutospacing="0" w:line="360" w:lineRule="auto"/>
        <w:rPr>
          <w:highlight w:val="none"/>
        </w:rPr>
      </w:pPr>
      <w:r>
        <w:rPr>
          <w:highlight w:val="none"/>
        </w:rPr>
      </w:r>
      <w:r/>
    </w:p>
    <w:p>
      <w:pPr>
        <w:pStyle w:val="645"/>
        <w:jc w:val="center"/>
        <w:spacing w:before="120" w:beforeAutospacing="0" w:after="120" w:afterAutospacing="0" w:line="360" w:lineRule="auto"/>
        <w:rPr>
          <w:rFonts w:hint="default" w:ascii="Arial" w:hAnsi="Arial" w:cs="Arial" w:eastAsiaTheme="minorEastAsia"/>
          <w:b/>
          <w:color w:val="000000"/>
          <w:sz w:val="32"/>
          <w:szCs w:val="32"/>
          <w:highlight w:val="none"/>
          <w:lang w:val="en-US" w:eastAsia="zh-CN"/>
        </w:rPr>
      </w:pPr>
      <w:r>
        <w:rPr>
          <w:rFonts w:hint="eastAsia" w:ascii="Arial" w:hAnsi="Arial" w:cs="Arial"/>
          <w:b/>
          <w:color w:val="000000"/>
          <w:sz w:val="32"/>
          <w:szCs w:val="32"/>
          <w:highlight w:val="none"/>
          <w:lang w:val="en-US" w:eastAsia="zh-CN"/>
        </w:rPr>
        <w:t xml:space="preserve">江苏滨海经济开发区沿海工业园管理委员会</w:t>
      </w:r>
      <w:r/>
    </w:p>
    <w:p>
      <w:pPr>
        <w:pStyle w:val="645"/>
        <w:jc w:val="center"/>
        <w:spacing w:before="120" w:beforeAutospacing="0" w:after="120" w:afterAutospacing="0" w:line="360" w:lineRule="auto"/>
        <w:rPr>
          <w:highlight w:val="none"/>
        </w:rPr>
      </w:pPr>
      <w:r>
        <w:rPr>
          <w:rFonts w:hint="eastAsia" w:ascii="Arial" w:hAnsi="Arial" w:cs="Arial"/>
          <w:b/>
          <w:color w:val="000000"/>
          <w:sz w:val="32"/>
          <w:szCs w:val="32"/>
          <w:highlight w:val="none"/>
          <w:lang w:val="en-US" w:eastAsia="zh-CN"/>
        </w:rPr>
        <w:t xml:space="preserve">2025</w:t>
      </w:r>
      <w:r>
        <w:rPr>
          <w:rFonts w:ascii="Arial" w:hAnsi="Arial" w:cs="Arial"/>
          <w:b/>
          <w:color w:val="000000"/>
          <w:sz w:val="32"/>
          <w:szCs w:val="32"/>
          <w:highlight w:val="none"/>
        </w:rPr>
        <w:t xml:space="preserve">年</w:t>
      </w:r>
      <w:r>
        <w:rPr>
          <w:rFonts w:hint="eastAsia" w:ascii="Arial" w:hAnsi="Arial" w:cs="Arial"/>
          <w:b/>
          <w:color w:val="000000"/>
          <w:sz w:val="32"/>
          <w:szCs w:val="32"/>
          <w:highlight w:val="none"/>
          <w:lang w:val="en-US" w:eastAsia="zh-CN"/>
        </w:rPr>
        <w:t xml:space="preserve">12</w:t>
      </w:r>
      <w:r>
        <w:rPr>
          <w:rFonts w:ascii="Arial" w:hAnsi="Arial" w:cs="Arial"/>
          <w:b/>
          <w:color w:val="000000"/>
          <w:sz w:val="32"/>
          <w:szCs w:val="32"/>
          <w:highlight w:val="none"/>
        </w:rPr>
        <w:t xml:space="preserve">月</w:t>
      </w:r>
      <w:r/>
    </w:p>
    <w:p>
      <w:pPr>
        <w:pStyle w:val="645"/>
        <w:jc w:val="center"/>
        <w:spacing w:beforeAutospacing="0" w:afterAutospacing="0" w:line="480" w:lineRule="auto"/>
        <w:rPr>
          <w:highlight w:val="none"/>
        </w:rPr>
      </w:pPr>
      <w:r>
        <w:rPr>
          <w:rFonts w:ascii="Times New Roman" w:hAnsi="Times New Roman"/>
          <w:color w:val="000000"/>
          <w:sz w:val="21"/>
          <w:szCs w:val="21"/>
          <w:highlight w:val="none"/>
        </w:rPr>
        <w:br w:type="page" w:clear="all"/>
      </w:r>
      <w:bookmarkStart w:id="0" w:name="_Toc20823272"/>
      <w:r/>
      <w:bookmarkStart w:id="1" w:name="_Toc513029200"/>
      <w:r/>
      <w:bookmarkStart w:id="2" w:name="_Toc16938516"/>
      <w:r/>
      <w:bookmarkStart w:id="3" w:name="_Toc523127445"/>
      <w:r/>
      <w:bookmarkStart w:id="4" w:name="_Toc120614210"/>
      <w:r/>
      <w:bookmarkStart w:id="5" w:name="_Toc479757206"/>
      <w:r>
        <w:rPr>
          <w:rFonts w:ascii="黑体" w:hAnsi="宋体" w:eastAsia="黑体" w:cs="黑体"/>
          <w:b/>
          <w:color w:val="000000"/>
          <w:sz w:val="44"/>
          <w:szCs w:val="44"/>
          <w:highlight w:val="none"/>
        </w:rPr>
        <w:t xml:space="preserve">总</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目</w:t>
      </w:r>
      <w:r>
        <w:rPr>
          <w:rFonts w:hint="eastAsia" w:ascii="黑体" w:hAnsi="宋体" w:eastAsia="黑体" w:cs="黑体"/>
          <w:b/>
          <w:color w:val="000000"/>
          <w:sz w:val="44"/>
          <w:szCs w:val="44"/>
          <w:highlight w:val="none"/>
          <w:lang w:val="en-US" w:eastAsia="zh-CN"/>
        </w:rPr>
        <w:t xml:space="preserve"> </w:t>
      </w:r>
      <w:r>
        <w:rPr>
          <w:rFonts w:ascii="黑体" w:hAnsi="宋体" w:eastAsia="黑体" w:cs="黑体"/>
          <w:b/>
          <w:color w:val="000000"/>
          <w:sz w:val="44"/>
          <w:szCs w:val="44"/>
          <w:highlight w:val="none"/>
        </w:rPr>
        <w:t xml:space="preserve"> 录</w:t>
      </w:r>
      <w:bookmarkEnd w:id="0"/>
      <w:r/>
      <w:bookmarkEnd w:id="1"/>
      <w:r/>
      <w:bookmarkEnd w:id="2"/>
      <w:r/>
      <w:bookmarkEnd w:id="3"/>
      <w:r/>
      <w:bookmarkEnd w:id="4"/>
      <w:r/>
      <w:bookmarkEnd w:id="5"/>
      <w:r/>
      <w:r/>
    </w:p>
    <w:p>
      <w:pPr>
        <w:pStyle w:val="645"/>
        <w:jc w:val="both"/>
        <w:spacing w:beforeAutospacing="0" w:afterAutospacing="0" w:line="480" w:lineRule="auto"/>
        <w:rPr>
          <w:highlight w:val="none"/>
        </w:rPr>
      </w:pPr>
      <w:r>
        <w:rPr>
          <w:highlight w:val="none"/>
        </w:rPr>
      </w:r>
      <w:r/>
    </w:p>
    <w:p>
      <w:pPr>
        <w:pStyle w:val="64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lang w:val="en-US" w:eastAsia="zh-CN"/>
        </w:rPr>
        <w:t xml:space="preserve">招标公告</w:t>
      </w:r>
      <w:r>
        <w:rPr>
          <w:rFonts w:hint="eastAsia" w:ascii="黑体" w:hAnsi="宋体" w:eastAsia="黑体" w:cs="黑体"/>
          <w:color w:val="000000"/>
          <w:sz w:val="36"/>
          <w:szCs w:val="36"/>
          <w:highlight w:val="none"/>
        </w:rPr>
        <w:t xml:space="preserve">…………………………………… </w:t>
      </w:r>
      <w:r/>
    </w:p>
    <w:p>
      <w:pPr>
        <w:pStyle w:val="64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投标人须知………………………………… </w:t>
      </w:r>
      <w:r/>
    </w:p>
    <w:p>
      <w:pPr>
        <w:pStyle w:val="64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合同文本……………………………………</w:t>
      </w:r>
      <w:r/>
    </w:p>
    <w:p>
      <w:pPr>
        <w:pStyle w:val="64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采购需求……………………………………</w:t>
      </w:r>
      <w:r/>
    </w:p>
    <w:p>
      <w:pPr>
        <w:pStyle w:val="64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评标方法与评标标准………………………</w:t>
      </w:r>
      <w:r/>
    </w:p>
    <w:p>
      <w:pPr>
        <w:pStyle w:val="645"/>
        <w:ind w:left="2160" w:hanging="1440"/>
        <w:jc w:val="both"/>
        <w:spacing w:beforeAutospacing="0" w:afterAutospacing="0" w:line="480" w:lineRule="auto"/>
        <w:tabs>
          <w:tab w:val="left" w:pos="1441" w:leader="none"/>
        </w:tabs>
        <w:rPr>
          <w:highlight w:val="none"/>
        </w:rPr>
      </w:pPr>
      <w:r>
        <w:rPr>
          <w:rFonts w:hint="eastAsia" w:ascii="黑体" w:hAnsi="宋体" w:eastAsia="黑体" w:cs="黑体"/>
          <w:color w:val="000000"/>
          <w:sz w:val="36"/>
          <w:szCs w:val="36"/>
          <w:highlight w:val="none"/>
        </w:rPr>
        <w:t xml:space="preserve">投标文件格式………………………………</w:t>
      </w:r>
      <w:r/>
    </w:p>
    <w:p>
      <w:pPr>
        <w:pStyle w:val="645"/>
        <w:jc w:val="both"/>
        <w:spacing w:beforeAutospacing="0" w:afterAutospacing="0"/>
        <w:rPr>
          <w:highlight w:val="none"/>
        </w:rPr>
      </w:pPr>
      <w:r>
        <w:rPr>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45"/>
        <w:jc w:val="center"/>
        <w:keepNext/>
        <w:spacing w:beforeAutospacing="0" w:afterAutospacing="0"/>
        <w:rPr>
          <w:rFonts w:hint="default" w:eastAsia="黑体"/>
          <w:highlight w:val="none"/>
          <w:lang w:val="en-US" w:eastAsia="zh-CN"/>
        </w:rPr>
      </w:pPr>
      <w:r>
        <w:rPr>
          <w:rFonts w:hint="eastAsia" w:ascii="黑体" w:hAnsi="宋体" w:eastAsia="黑体" w:cs="黑体"/>
          <w:color w:val="000000"/>
          <w:sz w:val="44"/>
          <w:szCs w:val="44"/>
          <w:highlight w:val="none"/>
        </w:rPr>
        <w:t xml:space="preserve">第一章</w:t>
      </w:r>
      <w:r>
        <w:rPr>
          <w:rFonts w:hint="eastAsia" w:ascii="黑体" w:hAnsi="宋体" w:eastAsia="黑体" w:cs="黑体"/>
          <w:color w:val="000000"/>
          <w:sz w:val="44"/>
          <w:szCs w:val="44"/>
          <w:highlight w:val="none"/>
          <w:lang w:val="en-US" w:eastAsia="zh-CN"/>
        </w:rPr>
        <w:t xml:space="preserve"> 招标公告</w:t>
      </w:r>
      <w:r/>
    </w:p>
    <w:p>
      <w:pPr>
        <w:pStyle w:val="64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rPr>
        <w:t xml:space="preserve">项目概况</w:t>
      </w:r>
      <w:r/>
    </w:p>
    <w:p>
      <w:pPr>
        <w:pStyle w:val="645"/>
        <w:ind w:firstLine="480"/>
        <w:jc w:val="both"/>
        <w:spacing w:beforeAutospacing="0" w:afterAutospacing="0"/>
        <w:rPr>
          <w:rFonts w:hint="eastAsia" w:ascii="宋体" w:hAnsi="宋体" w:eastAsia="宋体" w:cs="宋体"/>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4"/>
          <w:highlight w:val="none"/>
          <w:u w:val="single"/>
          <w:lang w:val="en-US" w:eastAsia="zh-CN"/>
        </w:rPr>
        <w:t xml:space="preserve">江苏滨海港经济开发区区域安全风险评估项目</w:t>
      </w:r>
      <w:r>
        <w:rPr>
          <w:rFonts w:hint="eastAsia" w:ascii="宋体" w:hAnsi="宋体" w:eastAsia="宋体" w:cs="宋体"/>
          <w:color w:val="000000"/>
          <w:sz w:val="24"/>
          <w:szCs w:val="24"/>
          <w:highlight w:val="none"/>
        </w:rPr>
        <w:t xml:space="preserve">招标项目的潜在投标人可在</w:t>
      </w:r>
      <w:r>
        <w:rPr>
          <w:rFonts w:hint="eastAsia" w:ascii="宋体" w:hAnsi="宋体" w:eastAsia="宋体" w:cs="宋体"/>
          <w:i w:val="0"/>
          <w:iCs w:val="0"/>
          <w:caps w:val="0"/>
          <w:color w:val="333333"/>
          <w:spacing w:val="0"/>
          <w:sz w:val="24"/>
          <w:szCs w:val="24"/>
          <w:highlight w:val="none"/>
          <w:shd w:val="clear" w:color="auto" w:fill="ffffff"/>
        </w:rPr>
        <w:t xml:space="preserve">“苏采云”系统内免费下载（投标人必须在苏采云系统中获取采购文件，方能参与政府采购项目）</w:t>
      </w:r>
      <w:r>
        <w:rPr>
          <w:rFonts w:hint="eastAsia" w:ascii="宋体" w:hAnsi="宋体" w:eastAsia="宋体" w:cs="宋体"/>
          <w:color w:val="000000"/>
          <w:sz w:val="24"/>
          <w:szCs w:val="24"/>
          <w:highlight w:val="none"/>
        </w:rPr>
        <w:t xml:space="preserve">，并于</w:t>
      </w:r>
      <w:r>
        <w:rPr>
          <w:rFonts w:hint="eastAsia" w:ascii="宋体" w:hAnsi="宋体" w:eastAsia="宋体" w:cs="宋体"/>
          <w:color w:val="000000"/>
          <w:sz w:val="24"/>
          <w:szCs w:val="24"/>
          <w:highlight w:val="none"/>
          <w:u w:val="single"/>
          <w:lang w:val="en-US" w:eastAsia="zh-CN"/>
        </w:rPr>
        <w:t xml:space="preserve">2026</w:t>
      </w:r>
      <w:r>
        <w:rPr>
          <w:rFonts w:hint="eastAsia" w:ascii="宋体" w:hAnsi="宋体" w:eastAsia="宋体" w:cs="宋体"/>
          <w:color w:val="000000"/>
          <w:sz w:val="24"/>
          <w:szCs w:val="24"/>
          <w:highlight w:val="none"/>
          <w:u w:val="single"/>
        </w:rPr>
        <w:t xml:space="preserve">年</w:t>
      </w:r>
      <w:r>
        <w:rPr>
          <w:rFonts w:hint="eastAsia" w:ascii="宋体" w:hAnsi="宋体" w:eastAsia="宋体" w:cs="宋体"/>
          <w:color w:val="000000"/>
          <w:sz w:val="24"/>
          <w:szCs w:val="24"/>
          <w:highlight w:val="none"/>
          <w:u w:val="single"/>
          <w:lang w:val="en-US" w:eastAsia="zh-CN"/>
        </w:rPr>
        <w:t xml:space="preserve">1</w:t>
      </w:r>
      <w:r>
        <w:rPr>
          <w:rFonts w:hint="eastAsia" w:ascii="宋体" w:hAnsi="宋体" w:eastAsia="宋体" w:cs="宋体"/>
          <w:color w:val="000000"/>
          <w:sz w:val="24"/>
          <w:szCs w:val="24"/>
          <w:highlight w:val="none"/>
          <w:u w:val="single"/>
        </w:rPr>
        <w:t xml:space="preserve">月</w:t>
      </w:r>
      <w:r>
        <w:rPr>
          <w:rFonts w:hint="eastAsia" w:ascii="宋体" w:hAnsi="宋体" w:eastAsia="宋体" w:cs="宋体"/>
          <w:color w:val="000000"/>
          <w:sz w:val="24"/>
          <w:szCs w:val="24"/>
          <w:highlight w:val="none"/>
          <w:u w:val="single"/>
          <w:lang w:val="en-US" w:eastAsia="zh-CN"/>
        </w:rPr>
        <w:t xml:space="preserve">14</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点</w:t>
      </w:r>
      <w:r>
        <w:rPr>
          <w:rFonts w:hint="eastAsia" w:ascii="宋体" w:hAnsi="宋体" w:eastAsia="宋体" w:cs="宋体"/>
          <w:color w:val="000000"/>
          <w:sz w:val="24"/>
          <w:szCs w:val="24"/>
          <w:highlight w:val="none"/>
          <w:u w:val="single"/>
          <w:lang w:val="en-US" w:eastAsia="zh-CN"/>
        </w:rPr>
        <w:t xml:space="preserve">00</w:t>
      </w:r>
      <w:r>
        <w:rPr>
          <w:rFonts w:hint="eastAsia" w:ascii="宋体" w:hAnsi="宋体" w:eastAsia="宋体" w:cs="宋体"/>
          <w:color w:val="000000"/>
          <w:sz w:val="24"/>
          <w:szCs w:val="24"/>
          <w:highlight w:val="none"/>
          <w:u w:val="single"/>
        </w:rPr>
        <w:t xml:space="preserve">分（</w:t>
      </w:r>
      <w:r>
        <w:rPr>
          <w:rFonts w:hint="eastAsia" w:ascii="宋体" w:hAnsi="宋体" w:eastAsia="宋体" w:cs="宋体"/>
          <w:color w:val="000000"/>
          <w:sz w:val="24"/>
          <w:szCs w:val="24"/>
          <w:highlight w:val="none"/>
        </w:rPr>
        <w:t xml:space="preserve">北京时间）前递交投标文件。</w:t>
      </w:r>
      <w:r/>
    </w:p>
    <w:p>
      <w:pPr>
        <w:ind w:firstLine="482"/>
        <w:keepLines w:val="0"/>
        <w:keepNext w:val="0"/>
        <w:pageBreakBefore w:val="0"/>
        <w:spacing w:line="520" w:lineRule="exact"/>
        <w:widowControl w:val="off"/>
        <w:rPr>
          <w:rFonts w:hint="eastAsia"/>
          <w:b/>
          <w:bCs/>
          <w:sz w:val="24"/>
          <w:szCs w:val="24"/>
        </w:rPr>
      </w:pPr>
      <w:r/>
      <w:bookmarkStart w:id="6" w:name="_Toc28359079"/>
      <w:r/>
      <w:bookmarkStart w:id="7" w:name="_Toc35393621"/>
      <w:r/>
      <w:bookmarkStart w:id="8" w:name="_Toc28359002"/>
      <w:r/>
      <w:bookmarkStart w:id="9" w:name="_Toc38985263"/>
      <w:r/>
      <w:bookmarkStart w:id="10" w:name="_Toc35393790"/>
      <w:r/>
      <w:bookmarkStart w:id="11" w:name="_Hlk24379207"/>
      <w:r>
        <w:rPr>
          <w:rFonts w:hint="eastAsia"/>
          <w:b/>
          <w:bCs/>
          <w:sz w:val="24"/>
          <w:szCs w:val="24"/>
        </w:rPr>
        <w:t xml:space="preserve">一、项目基本情况</w:t>
      </w:r>
      <w:bookmarkEnd w:id="6"/>
      <w:r/>
      <w:bookmarkEnd w:id="7"/>
      <w:r/>
      <w:bookmarkEnd w:id="8"/>
      <w:r/>
      <w:bookmarkEnd w:id="9"/>
      <w:r/>
      <w:bookmarkEnd w:id="10"/>
      <w:r/>
      <w:bookmarkEnd w:id="11"/>
      <w:r/>
      <w:r/>
    </w:p>
    <w:p>
      <w:pPr>
        <w:ind w:firstLine="480"/>
        <w:keepLines w:val="0"/>
        <w:keepNext w:val="0"/>
        <w:pageBreakBefore w:val="0"/>
        <w:spacing w:line="520" w:lineRule="exact"/>
        <w:widowControl w:val="off"/>
        <w:rPr>
          <w:rFonts w:hint="eastAsia" w:eastAsiaTheme="minorEastAsia"/>
          <w:sz w:val="24"/>
          <w:szCs w:val="24"/>
          <w:lang w:eastAsia="zh-CN"/>
        </w:rPr>
      </w:pPr>
      <w:r>
        <w:rPr>
          <w:rFonts w:hint="eastAsia"/>
          <w:sz w:val="24"/>
          <w:szCs w:val="24"/>
        </w:rPr>
        <w:t xml:space="preserve">1.项目编号：JSZC-320922-YCSH-G2025-0021</w:t>
      </w:r>
      <w:r/>
    </w:p>
    <w:p>
      <w:pPr>
        <w:ind w:firstLine="480"/>
        <w:keepLines w:val="0"/>
        <w:keepNext w:val="0"/>
        <w:pageBreakBefore w:val="0"/>
        <w:spacing w:line="520" w:lineRule="exact"/>
        <w:widowControl w:val="off"/>
        <w:rPr>
          <w:rFonts w:hint="eastAsia"/>
          <w:sz w:val="24"/>
          <w:szCs w:val="24"/>
        </w:rPr>
      </w:pPr>
      <w:r>
        <w:rPr>
          <w:rFonts w:hint="eastAsia"/>
          <w:sz w:val="24"/>
          <w:szCs w:val="24"/>
        </w:rPr>
        <w:t xml:space="preserve">2.项目名称：</w:t>
      </w:r>
      <w:r>
        <w:rPr>
          <w:rFonts w:hint="eastAsia"/>
          <w:sz w:val="24"/>
          <w:szCs w:val="24"/>
          <w:lang w:val="en-US" w:eastAsia="zh-CN"/>
        </w:rPr>
        <w:t xml:space="preserve">江苏滨海港经济开发区区域安全风险评估项目</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3.</w:t>
      </w:r>
      <w:r>
        <w:rPr>
          <w:rFonts w:hint="eastAsia"/>
          <w:sz w:val="24"/>
          <w:szCs w:val="24"/>
        </w:rPr>
        <w:t xml:space="preserve">采购方式：</w:t>
      </w:r>
      <w:r>
        <w:rPr>
          <w:rFonts w:hint="eastAsia"/>
          <w:sz w:val="24"/>
          <w:szCs w:val="24"/>
          <w:lang w:val="en-US" w:eastAsia="zh-CN"/>
        </w:rPr>
        <w:t xml:space="preserve">公开招标</w:t>
      </w:r>
      <w:r/>
    </w:p>
    <w:p>
      <w:pPr>
        <w:ind w:firstLine="480"/>
        <w:keepLines w:val="0"/>
        <w:keepNext w:val="0"/>
        <w:pageBreakBefore w:val="0"/>
        <w:spacing w:line="520" w:lineRule="exact"/>
        <w:widowControl w:val="off"/>
        <w:rPr>
          <w:rFonts w:hint="eastAsia"/>
          <w:sz w:val="24"/>
          <w:szCs w:val="24"/>
        </w:rPr>
      </w:pPr>
      <w:r>
        <w:rPr>
          <w:rFonts w:hint="eastAsia"/>
          <w:sz w:val="24"/>
          <w:szCs w:val="24"/>
          <w:lang w:val="en-US" w:eastAsia="zh-CN"/>
        </w:rPr>
        <w:t xml:space="preserve">4</w:t>
      </w:r>
      <w:r>
        <w:rPr>
          <w:rFonts w:hint="eastAsia"/>
          <w:sz w:val="24"/>
          <w:szCs w:val="24"/>
        </w:rPr>
        <w:t xml:space="preserve">.预算金额：</w:t>
      </w:r>
      <w:r>
        <w:rPr>
          <w:rFonts w:hint="eastAsia"/>
          <w:sz w:val="24"/>
          <w:szCs w:val="24"/>
          <w:lang w:val="en-US" w:eastAsia="zh-CN"/>
        </w:rPr>
        <w:t xml:space="preserve">130万</w:t>
      </w:r>
      <w:r>
        <w:rPr>
          <w:rFonts w:hint="eastAsia"/>
          <w:sz w:val="24"/>
          <w:szCs w:val="24"/>
        </w:rPr>
        <w:t xml:space="preserve">元</w:t>
      </w:r>
      <w:r/>
    </w:p>
    <w:p>
      <w:pPr>
        <w:ind w:firstLine="480"/>
        <w:keepLines w:val="0"/>
        <w:keepNext w:val="0"/>
        <w:pageBreakBefore w:val="0"/>
        <w:spacing w:line="520" w:lineRule="exact"/>
        <w:widowControl w:val="off"/>
        <w:rPr>
          <w:rFonts w:hint="eastAsia"/>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最高限价：</w:t>
      </w:r>
      <w:r>
        <w:rPr>
          <w:rFonts w:hint="eastAsia"/>
          <w:sz w:val="24"/>
          <w:szCs w:val="24"/>
          <w:highlight w:val="none"/>
          <w:lang w:val="en-US" w:eastAsia="zh-CN"/>
        </w:rPr>
        <w:t xml:space="preserve">130万</w:t>
      </w:r>
      <w:r>
        <w:rPr>
          <w:rFonts w:hint="eastAsia"/>
          <w:sz w:val="24"/>
          <w:szCs w:val="24"/>
          <w:highlight w:val="none"/>
        </w:rPr>
        <w:t xml:space="preserve">元</w:t>
      </w:r>
      <w:r/>
    </w:p>
    <w:p>
      <w:pPr>
        <w:ind w:firstLine="480"/>
        <w:keepLines w:val="0"/>
        <w:keepNext w:val="0"/>
        <w:pageBreakBefore w:val="0"/>
        <w:spacing w:line="520" w:lineRule="exact"/>
        <w:widowControl w:val="off"/>
        <w:rPr>
          <w:rFonts w:hint="eastAsia" w:eastAsiaTheme="minorEastAsia"/>
          <w:sz w:val="24"/>
          <w:szCs w:val="24"/>
          <w:highlight w:val="yellow"/>
          <w:lang w:eastAsia="zh-CN"/>
        </w:rPr>
      </w:pPr>
      <w:r>
        <w:rPr>
          <w:rFonts w:hint="eastAsia"/>
          <w:sz w:val="24"/>
          <w:szCs w:val="24"/>
          <w:lang w:val="en-US" w:eastAsia="zh-CN"/>
        </w:rPr>
        <w:t xml:space="preserve">6</w:t>
      </w:r>
      <w:r>
        <w:rPr>
          <w:rFonts w:hint="eastAsia"/>
          <w:sz w:val="24"/>
          <w:szCs w:val="24"/>
        </w:rPr>
        <w:t xml:space="preserve">.采购需求（简介）：</w:t>
      </w:r>
      <w:r>
        <w:rPr>
          <w:rFonts w:hint="eastAsia"/>
          <w:sz w:val="24"/>
          <w:szCs w:val="24"/>
          <w:highlight w:val="none"/>
        </w:rPr>
        <w:t xml:space="preserve">根据江苏省安全生产专项整治行动《经济开发区安全专项整治三年行动实施方案》等文件要求，</w:t>
      </w:r>
      <w:r>
        <w:rPr>
          <w:rFonts w:hint="eastAsia"/>
          <w:sz w:val="24"/>
          <w:szCs w:val="24"/>
          <w:highlight w:val="none"/>
          <w:lang w:val="en-US" w:eastAsia="zh-CN"/>
        </w:rPr>
        <w:t xml:space="preserve">评估单位需</w:t>
      </w:r>
      <w:r>
        <w:rPr>
          <w:rFonts w:hint="eastAsia"/>
          <w:sz w:val="24"/>
          <w:szCs w:val="24"/>
          <w:highlight w:val="none"/>
          <w:lang w:eastAsia="zh-CN"/>
        </w:rPr>
        <w:t xml:space="preserve">对滨海港经济开发区选址规划、总体布局、自然环境、工业企业、建设工程、公共基础设施、安全管理、应急管理等进行实地调查</w:t>
      </w:r>
      <w:r>
        <w:rPr>
          <w:rFonts w:hint="eastAsia"/>
          <w:sz w:val="24"/>
          <w:szCs w:val="24"/>
          <w:highlight w:val="none"/>
          <w:lang w:val="en-US" w:eastAsia="zh-CN"/>
        </w:rPr>
        <w:t xml:space="preserve">，并编制整体性安全风险评估报告</w:t>
      </w:r>
      <w:r>
        <w:rPr>
          <w:rFonts w:hint="eastAsia"/>
          <w:sz w:val="24"/>
          <w:szCs w:val="24"/>
          <w:highlight w:val="none"/>
          <w:lang w:eastAsia="zh-CN"/>
        </w:rPr>
        <w:t xml:space="preserve">，</w:t>
      </w:r>
      <w:r>
        <w:rPr>
          <w:rFonts w:hint="eastAsia"/>
          <w:sz w:val="24"/>
          <w:szCs w:val="24"/>
          <w:highlight w:val="none"/>
        </w:rPr>
        <w:t xml:space="preserve">详细内容见本</w:t>
      </w:r>
      <w:r>
        <w:rPr>
          <w:rFonts w:hint="eastAsia"/>
          <w:sz w:val="24"/>
          <w:szCs w:val="24"/>
          <w:highlight w:val="none"/>
          <w:lang w:val="en-US" w:eastAsia="zh-CN"/>
        </w:rPr>
        <w:t xml:space="preserve">招标</w:t>
      </w:r>
      <w:r>
        <w:rPr>
          <w:rFonts w:hint="eastAsia"/>
          <w:sz w:val="24"/>
          <w:szCs w:val="24"/>
          <w:highlight w:val="none"/>
        </w:rPr>
        <w:t xml:space="preserve">文件第四章</w:t>
      </w:r>
      <w:r>
        <w:rPr>
          <w:rFonts w:hint="eastAsia"/>
          <w:sz w:val="24"/>
          <w:szCs w:val="24"/>
          <w:highlight w:val="none"/>
          <w:lang w:eastAsia="zh-CN"/>
        </w:rPr>
        <w:t xml:space="preserve">。</w:t>
      </w:r>
      <w:r/>
    </w:p>
    <w:p>
      <w:pPr>
        <w:ind w:firstLine="480"/>
        <w:keepLines w:val="0"/>
        <w:keepNext w:val="0"/>
        <w:pageBreakBefore w:val="0"/>
        <w:spacing w:line="520" w:lineRule="exact"/>
        <w:widowControl w:val="off"/>
        <w:rPr>
          <w:rFonts w:hint="default"/>
          <w:sz w:val="24"/>
          <w:szCs w:val="24"/>
          <w:lang w:val="en-US" w:eastAsia="zh-CN"/>
        </w:rPr>
      </w:pPr>
      <w:r>
        <w:rPr>
          <w:rFonts w:hint="eastAsia"/>
          <w:sz w:val="24"/>
          <w:szCs w:val="24"/>
          <w:lang w:val="en-US" w:eastAsia="zh-CN"/>
        </w:rPr>
        <w:t xml:space="preserve">7.合同履行期限：（1）2026年6月30日前完成《滨海港经济开发区风险源调查分析报告》、《滨海港经济开发区风险源分级分类可视化标注报告》，并通过专家评审；2026年12月31日前依据《开发区整体性安全风</w:t>
      </w:r>
      <w:r>
        <w:rPr>
          <w:rFonts w:hint="eastAsia"/>
          <w:sz w:val="24"/>
          <w:szCs w:val="24"/>
          <w:lang w:val="en-US" w:eastAsia="zh-CN"/>
        </w:rPr>
        <w:t xml:space="preserve">险评估导则》（DB32/T 4586—2023）完成滨海港经济开发区整体性安全风险评估报告编制，并通过专家评审。（2）整体性安全风险评估报告编制完成后的四年内，如出现《开发区整体性安全风险评估导则》有调整或上级部门有新指导意见以及其他需要重新编制或调整评估报告的情形，中标供应商应根据招标人要求免费提供评估报告编制、修整等工作。（3）整体性安全风险评估报告编制完成后的四年内，如有涉及滨海港经济开发区整体风险评估报告相关检查工作需提供技术支持、解释工作时，应第一时间安排项目负责人或有关技术人员配合相关检查工作。</w:t>
      </w:r>
      <w:r>
        <w:rPr>
          <w:rFonts w:hint="eastAsia"/>
          <w:sz w:val="24"/>
          <w:szCs w:val="24"/>
          <w:highlight w:val="none"/>
          <w:lang w:val="en-US" w:eastAsia="zh-CN"/>
        </w:rPr>
        <w:t xml:space="preserve">  </w:t>
      </w:r>
      <w:r/>
    </w:p>
    <w:p>
      <w:pPr>
        <w:ind w:firstLine="480"/>
        <w:keepLines w:val="0"/>
        <w:keepNext w:val="0"/>
        <w:pageBreakBefore w:val="0"/>
        <w:spacing w:line="520" w:lineRule="exact"/>
        <w:widowControl w:val="off"/>
        <w:rPr>
          <w:rFonts w:hint="default"/>
          <w:sz w:val="24"/>
          <w:szCs w:val="24"/>
          <w:lang w:val="en-US" w:eastAsia="zh-CN"/>
        </w:rPr>
      </w:pPr>
      <w:r>
        <w:rPr>
          <w:rFonts w:hint="eastAsia"/>
          <w:sz w:val="24"/>
          <w:szCs w:val="24"/>
          <w:lang w:val="en-US" w:eastAsia="zh-CN"/>
        </w:rPr>
        <w:t xml:space="preserve">8.</w:t>
      </w:r>
      <w:r>
        <w:rPr>
          <w:rFonts w:hint="eastAsia"/>
          <w:sz w:val="24"/>
          <w:szCs w:val="24"/>
        </w:rPr>
        <w:t xml:space="preserve">本项目（是/否）接受联合体参与</w:t>
      </w:r>
      <w:r>
        <w:rPr>
          <w:rFonts w:hint="eastAsia"/>
          <w:sz w:val="24"/>
          <w:szCs w:val="24"/>
          <w:lang w:val="en-US" w:eastAsia="zh-CN"/>
        </w:rPr>
        <w:t xml:space="preserve">招标</w:t>
      </w:r>
      <w:r>
        <w:rPr>
          <w:rFonts w:hint="eastAsia"/>
          <w:sz w:val="24"/>
          <w:szCs w:val="24"/>
          <w:lang w:eastAsia="zh-CN"/>
        </w:rPr>
        <w:t xml:space="preserve">：</w:t>
      </w:r>
      <w:r>
        <w:rPr>
          <w:rFonts w:hint="eastAsia"/>
          <w:sz w:val="24"/>
          <w:szCs w:val="24"/>
          <w:lang w:val="en-US" w:eastAsia="zh-CN"/>
        </w:rPr>
        <w:t xml:space="preserve">否</w:t>
      </w:r>
      <w:r/>
    </w:p>
    <w:p>
      <w:pPr>
        <w:ind w:firstLine="482"/>
        <w:keepLines w:val="0"/>
        <w:keepNext w:val="0"/>
        <w:pageBreakBefore w:val="0"/>
        <w:spacing w:line="520" w:lineRule="exact"/>
        <w:widowControl w:val="off"/>
        <w:rPr>
          <w:rFonts w:hint="eastAsia"/>
          <w:b/>
          <w:bCs/>
          <w:sz w:val="24"/>
          <w:szCs w:val="24"/>
        </w:rPr>
      </w:pPr>
      <w:r/>
      <w:bookmarkStart w:id="12" w:name="_Toc35393791"/>
      <w:r/>
      <w:bookmarkStart w:id="13" w:name="_Toc28359003"/>
      <w:r/>
      <w:bookmarkStart w:id="14" w:name="_Toc35393622"/>
      <w:r/>
      <w:bookmarkStart w:id="15" w:name="_Toc28359080"/>
      <w:r/>
      <w:bookmarkStart w:id="16" w:name="_Toc38985264"/>
      <w:r>
        <w:rPr>
          <w:rFonts w:hint="eastAsia"/>
          <w:b/>
          <w:bCs/>
          <w:sz w:val="24"/>
          <w:szCs w:val="24"/>
        </w:rPr>
        <w:t xml:space="preserve">二、申请人的资格要求：</w:t>
      </w:r>
      <w:bookmarkEnd w:id="12"/>
      <w:r/>
      <w:bookmarkEnd w:id="13"/>
      <w:r/>
      <w:bookmarkEnd w:id="14"/>
      <w:r/>
      <w:bookmarkEnd w:id="15"/>
      <w:r/>
      <w:bookmarkEnd w:id="16"/>
      <w:r/>
      <w:r/>
    </w:p>
    <w:p>
      <w:pPr>
        <w:ind w:firstLine="480"/>
        <w:keepLines w:val="0"/>
        <w:keepNext w:val="0"/>
        <w:pageBreakBefore w:val="0"/>
        <w:spacing w:line="520" w:lineRule="exact"/>
        <w:widowControl w:val="off"/>
        <w:rPr>
          <w:rFonts w:hint="eastAsia"/>
          <w:sz w:val="24"/>
          <w:szCs w:val="24"/>
        </w:rPr>
      </w:pPr>
      <w:r>
        <w:rPr>
          <w:rFonts w:hint="eastAsia"/>
          <w:sz w:val="24"/>
          <w:szCs w:val="24"/>
        </w:rPr>
        <w:t xml:space="preserve">1.满足《中华人民共和国政府采购法》第二十二条规定，并提供下列材料：</w:t>
      </w:r>
      <w:r/>
    </w:p>
    <w:p>
      <w:pPr>
        <w:ind w:firstLine="480"/>
        <w:keepLines w:val="0"/>
        <w:keepNext w:val="0"/>
        <w:pageBreakBefore w:val="0"/>
        <w:spacing w:line="520" w:lineRule="exact"/>
        <w:widowControl w:val="off"/>
        <w:rPr>
          <w:rFonts w:hint="eastAsia"/>
          <w:sz w:val="24"/>
          <w:szCs w:val="24"/>
        </w:rPr>
      </w:pPr>
      <w:r>
        <w:rPr>
          <w:rFonts w:hint="eastAsia"/>
          <w:sz w:val="24"/>
          <w:szCs w:val="24"/>
        </w:rPr>
        <w:t xml:space="preserve">1.1法人或者其他组织的营业执照等证明文件，自然人的身份证明；</w:t>
      </w:r>
      <w:r/>
    </w:p>
    <w:p>
      <w:pPr>
        <w:ind w:firstLine="480"/>
        <w:keepLines w:val="0"/>
        <w:keepNext w:val="0"/>
        <w:pageBreakBefore w:val="0"/>
        <w:spacing w:line="520" w:lineRule="exact"/>
        <w:widowControl w:val="off"/>
        <w:rPr>
          <w:rFonts w:hint="eastAsia"/>
          <w:sz w:val="24"/>
          <w:szCs w:val="24"/>
        </w:rPr>
      </w:pPr>
      <w:r>
        <w:rPr>
          <w:rFonts w:hint="eastAsia"/>
          <w:sz w:val="24"/>
          <w:szCs w:val="24"/>
        </w:rPr>
        <w:t xml:space="preserve">1.2上一年度的财务状况报表或银行资信证明（成立不满一年无需提供）；</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1.3</w:t>
      </w:r>
      <w:r>
        <w:rPr>
          <w:rFonts w:hint="eastAsia"/>
          <w:sz w:val="24"/>
          <w:szCs w:val="24"/>
        </w:rPr>
        <w:t xml:space="preserve">具备履行合同所必需的设备和专业技术能力的书面声明；</w:t>
      </w:r>
      <w:r/>
    </w:p>
    <w:p>
      <w:pPr>
        <w:ind w:firstLine="480"/>
        <w:keepLines w:val="0"/>
        <w:keepNext w:val="0"/>
        <w:pageBreakBefore w:val="0"/>
        <w:spacing w:line="520" w:lineRule="exact"/>
        <w:widowControl w:val="off"/>
        <w:rPr>
          <w:rFonts w:hint="eastAsia"/>
          <w:sz w:val="24"/>
          <w:szCs w:val="24"/>
        </w:rPr>
      </w:pPr>
      <w:r>
        <w:rPr>
          <w:rFonts w:hint="eastAsia"/>
          <w:sz w:val="24"/>
          <w:szCs w:val="24"/>
        </w:rPr>
        <w:t xml:space="preserve">1.</w:t>
      </w:r>
      <w:r>
        <w:rPr>
          <w:rFonts w:hint="eastAsia"/>
          <w:sz w:val="24"/>
          <w:szCs w:val="24"/>
          <w:lang w:val="en-US" w:eastAsia="zh-CN"/>
        </w:rPr>
        <w:t xml:space="preserve">4</w:t>
      </w:r>
      <w:r>
        <w:rPr>
          <w:rFonts w:hint="eastAsia"/>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keepLines w:val="0"/>
        <w:keepNext w:val="0"/>
        <w:pageBreakBefore w:val="0"/>
        <w:spacing w:line="520" w:lineRule="exact"/>
        <w:widowControl w:val="off"/>
        <w:rPr>
          <w:rFonts w:hint="eastAsia"/>
          <w:sz w:val="24"/>
          <w:szCs w:val="24"/>
        </w:rPr>
      </w:pPr>
      <w:r>
        <w:rPr>
          <w:rFonts w:hint="eastAsia"/>
          <w:sz w:val="24"/>
          <w:szCs w:val="24"/>
          <w:lang w:val="en-US" w:eastAsia="zh-CN"/>
        </w:rPr>
        <w:t xml:space="preserve">1</w:t>
      </w:r>
      <w:r>
        <w:rPr>
          <w:rFonts w:hint="eastAsia"/>
          <w:sz w:val="24"/>
          <w:szCs w:val="24"/>
        </w:rPr>
        <w:t xml:space="preserve">.5参加政府采购活动前3年内在经营活动中没有重大违法记录的书面声明。</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1.6法律、行政法规规定的其他条件。</w:t>
      </w:r>
      <w:r/>
    </w:p>
    <w:p>
      <w:pPr>
        <w:ind w:firstLine="480"/>
        <w:keepLines w:val="0"/>
        <w:keepNext w:val="0"/>
        <w:pageBreakBefore w:val="0"/>
        <w:spacing w:line="520" w:lineRule="exact"/>
        <w:widowControl w:val="off"/>
        <w:rPr>
          <w:rFonts w:hint="eastAsia"/>
          <w:sz w:val="24"/>
          <w:szCs w:val="24"/>
        </w:rPr>
      </w:pPr>
      <w:r>
        <w:rPr>
          <w:rFonts w:hint="eastAsia"/>
          <w:sz w:val="24"/>
          <w:szCs w:val="24"/>
          <w:lang w:val="en-US" w:eastAsia="zh-CN"/>
        </w:rPr>
        <w:t xml:space="preserve">1.7</w:t>
      </w:r>
      <w:r>
        <w:rPr>
          <w:rFonts w:hint="eastAsia"/>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keepLines w:val="0"/>
        <w:keepNext w:val="0"/>
        <w:pageBreakBefore w:val="0"/>
        <w:spacing w:line="520" w:lineRule="exact"/>
        <w:widowControl w:val="off"/>
        <w:rPr>
          <w:rFonts w:hint="eastAsia"/>
          <w:sz w:val="24"/>
          <w:szCs w:val="24"/>
        </w:rPr>
      </w:pPr>
      <w:r>
        <w:rPr>
          <w:rFonts w:hint="eastAsia"/>
          <w:sz w:val="24"/>
          <w:szCs w:val="24"/>
          <w:lang w:val="en-US" w:eastAsia="zh-CN"/>
        </w:rPr>
        <w:t xml:space="preserve">1.8</w:t>
      </w:r>
      <w:r>
        <w:rPr>
          <w:rFonts w:hint="eastAsia"/>
          <w:sz w:val="24"/>
          <w:szCs w:val="24"/>
        </w:rPr>
        <w:t xml:space="preserve">单位负责人为同一人或者存在直接控股、管理关系的不同供应商，不得参加同一合同项下的政府采购活动。</w:t>
      </w:r>
      <w:r/>
    </w:p>
    <w:p>
      <w:pPr>
        <w:ind w:firstLine="480"/>
        <w:keepLines w:val="0"/>
        <w:keepNext w:val="0"/>
        <w:pageBreakBefore w:val="0"/>
        <w:spacing w:line="520" w:lineRule="exact"/>
        <w:widowControl w:val="off"/>
        <w:rPr>
          <w:rFonts w:hint="eastAsia"/>
          <w:sz w:val="24"/>
          <w:szCs w:val="24"/>
          <w:highlight w:val="yellow"/>
        </w:rPr>
      </w:pPr>
      <w:r>
        <w:rPr>
          <w:rFonts w:hint="eastAsia"/>
          <w:sz w:val="24"/>
          <w:szCs w:val="24"/>
        </w:rPr>
        <w:t xml:space="preserve">2</w:t>
      </w:r>
      <w:r>
        <w:rPr>
          <w:rFonts w:hint="eastAsia"/>
          <w:sz w:val="24"/>
          <w:szCs w:val="24"/>
          <w:lang w:val="en-US" w:eastAsia="zh-CN"/>
        </w:rPr>
        <w:t xml:space="preserve">.</w:t>
      </w:r>
      <w:r>
        <w:rPr>
          <w:rFonts w:hint="eastAsia"/>
          <w:sz w:val="24"/>
          <w:szCs w:val="24"/>
        </w:rPr>
        <w:t xml:space="preserve">落实政府采购政策需满足的资格要求：</w:t>
      </w:r>
      <w:r>
        <w:rPr>
          <w:rFonts w:hint="eastAsia"/>
          <w:sz w:val="24"/>
          <w:szCs w:val="24"/>
          <w:highlight w:val="none"/>
          <w:lang w:val="en-US" w:eastAsia="zh-CN"/>
        </w:rPr>
        <w:t xml:space="preserve">本项目属于专门面向中小企业采购的项目,不接受非中小企业参与本项目投标。（供应商投标时须提供《中小企业声明函》（格式附后）作为企业身份证明文件。供应商为非中小企业身份或投标时未提供《中小企业声明函》的，其资格审查不能通过。具体中小企业划分标准详见《关于印发中小企业划型标准规定的通知》工信部联企业【2011】300号）)。</w:t>
      </w:r>
      <w:r/>
    </w:p>
    <w:p>
      <w:pPr>
        <w:ind w:firstLine="480"/>
        <w:keepLines w:val="0"/>
        <w:keepNext w:val="0"/>
        <w:pageBreakBefore w:val="0"/>
        <w:spacing w:line="520" w:lineRule="exact"/>
        <w:widowControl w:val="off"/>
        <w:rPr>
          <w:rFonts w:hint="default"/>
          <w:sz w:val="24"/>
          <w:szCs w:val="24"/>
          <w:highlight w:val="none"/>
          <w:lang w:val="en-US" w:eastAsia="zh-CN"/>
        </w:rPr>
      </w:pPr>
      <w:r>
        <w:rPr>
          <w:rFonts w:hint="eastAsia"/>
          <w:sz w:val="24"/>
          <w:szCs w:val="24"/>
          <w:lang w:val="en-US" w:eastAsia="zh-CN"/>
        </w:rPr>
        <w:t xml:space="preserve">3.</w:t>
      </w:r>
      <w:r>
        <w:rPr>
          <w:rFonts w:hint="eastAsia"/>
          <w:sz w:val="24"/>
          <w:szCs w:val="24"/>
        </w:rPr>
        <w:t xml:space="preserve">本项目的特定资</w:t>
      </w:r>
      <w:r>
        <w:rPr>
          <w:rFonts w:hint="eastAsia"/>
          <w:sz w:val="24"/>
          <w:szCs w:val="24"/>
          <w:highlight w:val="none"/>
        </w:rPr>
        <w:t xml:space="preserve">格要求</w:t>
      </w:r>
      <w:r>
        <w:rPr>
          <w:rFonts w:hint="eastAsia"/>
          <w:sz w:val="24"/>
          <w:szCs w:val="24"/>
          <w:highlight w:val="none"/>
          <w:lang w:eastAsia="zh-CN"/>
        </w:rPr>
        <w:t xml:space="preserve">：</w:t>
      </w:r>
      <w:r>
        <w:rPr>
          <w:rFonts w:hint="eastAsia"/>
          <w:sz w:val="24"/>
          <w:szCs w:val="24"/>
          <w:highlight w:val="none"/>
          <w:lang w:val="en-US" w:eastAsia="zh-CN"/>
        </w:rPr>
        <w:t xml:space="preserve">投标供应商具有省级应急管理部门核发的安全评价机构资质证书。</w:t>
      </w:r>
      <w:r/>
    </w:p>
    <w:p>
      <w:pPr>
        <w:ind w:firstLine="482"/>
        <w:keepLines w:val="0"/>
        <w:keepNext w:val="0"/>
        <w:pageBreakBefore w:val="0"/>
        <w:spacing w:line="520" w:lineRule="exact"/>
        <w:widowControl w:val="off"/>
        <w:rPr>
          <w:rFonts w:hint="eastAsia"/>
          <w:b/>
          <w:bCs/>
          <w:sz w:val="24"/>
          <w:szCs w:val="24"/>
        </w:rPr>
      </w:pPr>
      <w:r>
        <w:rPr>
          <w:rFonts w:hint="eastAsia"/>
          <w:b/>
          <w:bCs/>
          <w:sz w:val="24"/>
          <w:szCs w:val="24"/>
        </w:rPr>
        <w:t xml:space="preserve">三、获取招标文件</w:t>
      </w:r>
      <w:r/>
    </w:p>
    <w:p>
      <w:pPr>
        <w:ind w:firstLine="480"/>
        <w:keepLines w:val="0"/>
        <w:keepNext w:val="0"/>
        <w:pageBreakBefore w:val="0"/>
        <w:spacing w:line="520" w:lineRule="exact"/>
        <w:widowControl w:val="off"/>
        <w:rPr>
          <w:rFonts w:hint="eastAsia"/>
          <w:sz w:val="24"/>
          <w:szCs w:val="24"/>
          <w:lang w:val="en-US" w:eastAsia="zh-CN"/>
        </w:rPr>
      </w:pPr>
      <w:r/>
      <w:bookmarkStart w:id="17" w:name="_Toc38985266"/>
      <w:r/>
      <w:bookmarkStart w:id="18" w:name="_Toc28359082"/>
      <w:r/>
      <w:bookmarkStart w:id="19" w:name="_Toc28359005"/>
      <w:r/>
      <w:bookmarkStart w:id="20" w:name="_Toc35393793"/>
      <w:r/>
      <w:bookmarkStart w:id="21" w:name="_Toc35393624"/>
      <w:r>
        <w:rPr>
          <w:rFonts w:hint="eastAsia"/>
          <w:sz w:val="24"/>
          <w:szCs w:val="24"/>
        </w:rPr>
        <w:t xml:space="preserve">1.时间</w:t>
      </w:r>
      <w:r>
        <w:rPr>
          <w:rFonts w:hint="eastAsia"/>
          <w:sz w:val="24"/>
          <w:szCs w:val="24"/>
          <w:lang w:val="en-US" w:eastAsia="zh-CN"/>
        </w:rPr>
        <w:t xml:space="preserve">：</w:t>
      </w:r>
      <w:bookmarkEnd w:id="17"/>
      <w:r/>
      <w:bookmarkEnd w:id="18"/>
      <w:r/>
      <w:bookmarkEnd w:id="19"/>
      <w:r/>
      <w:bookmarkEnd w:id="20"/>
      <w:r/>
      <w:bookmarkEnd w:id="21"/>
      <w:r>
        <w:rPr>
          <w:rFonts w:hint="eastAsia"/>
          <w:sz w:val="24"/>
          <w:szCs w:val="24"/>
          <w:lang w:val="en-US" w:eastAsia="zh-CN"/>
        </w:rPr>
        <w:t xml:space="preserve">自招标文件公告发布之日起5个工作日。</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2.地点：“苏采云”系统内免费下载（投标人必须在苏采云系统中获取采购文件，方能参与政府采购项目）；</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3.方式：本项目采用网上注册登记方式。 </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4.售价：0元</w:t>
      </w:r>
      <w:r/>
    </w:p>
    <w:p>
      <w:pPr>
        <w:ind w:firstLine="482"/>
        <w:keepLines w:val="0"/>
        <w:keepNext w:val="0"/>
        <w:pageBreakBefore w:val="0"/>
        <w:spacing w:line="520" w:lineRule="exact"/>
        <w:widowControl w:val="off"/>
        <w:rPr>
          <w:rFonts w:hint="eastAsia"/>
          <w:b/>
          <w:bCs/>
          <w:sz w:val="24"/>
          <w:szCs w:val="24"/>
        </w:rPr>
      </w:pPr>
      <w:r>
        <w:rPr>
          <w:rFonts w:hint="eastAsia"/>
          <w:b/>
          <w:bCs/>
          <w:sz w:val="24"/>
          <w:szCs w:val="24"/>
        </w:rPr>
        <w:t xml:space="preserve">四、提交投标文件截止时间、开标时间和地点</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rPr>
        <w:t xml:space="preserve">1.</w:t>
      </w:r>
      <w:r>
        <w:rPr>
          <w:rFonts w:hint="eastAsia"/>
          <w:sz w:val="24"/>
          <w:szCs w:val="24"/>
          <w:lang w:val="en-US" w:eastAsia="zh-CN"/>
        </w:rPr>
        <w:t xml:space="preserve">时间：2026年1月14日15时00分（北京时间）</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2.地点：苏采云“不见面”开标大厅。</w:t>
      </w:r>
      <w:r/>
    </w:p>
    <w:p>
      <w:pPr>
        <w:ind w:firstLine="482"/>
        <w:keepLines w:val="0"/>
        <w:keepNext w:val="0"/>
        <w:pageBreakBefore w:val="0"/>
        <w:spacing w:line="520" w:lineRule="exact"/>
        <w:widowControl w:val="off"/>
        <w:rPr>
          <w:rFonts w:hint="eastAsia"/>
          <w:b/>
          <w:bCs/>
          <w:sz w:val="24"/>
          <w:szCs w:val="24"/>
        </w:rPr>
      </w:pPr>
      <w:r/>
      <w:bookmarkStart w:id="22" w:name="_Toc35393794"/>
      <w:r/>
      <w:bookmarkStart w:id="23" w:name="_Toc35393625"/>
      <w:r/>
      <w:bookmarkStart w:id="24" w:name="_Toc28359084"/>
      <w:r/>
      <w:bookmarkStart w:id="25" w:name="_Toc38985267"/>
      <w:r/>
      <w:bookmarkStart w:id="26" w:name="_Toc28359007"/>
      <w:r>
        <w:rPr>
          <w:rFonts w:hint="eastAsia"/>
          <w:b/>
          <w:bCs/>
          <w:sz w:val="24"/>
          <w:szCs w:val="24"/>
        </w:rPr>
        <w:t xml:space="preserve">五、公告期限</w:t>
      </w:r>
      <w:bookmarkEnd w:id="22"/>
      <w:r/>
      <w:bookmarkEnd w:id="23"/>
      <w:r/>
      <w:bookmarkEnd w:id="24"/>
      <w:r/>
      <w:bookmarkEnd w:id="25"/>
      <w:r/>
      <w:bookmarkEnd w:id="26"/>
      <w:r/>
      <w:r/>
    </w:p>
    <w:p>
      <w:pPr>
        <w:ind w:firstLine="480"/>
        <w:keepLines w:val="0"/>
        <w:keepNext w:val="0"/>
        <w:pageBreakBefore w:val="0"/>
        <w:spacing w:line="520" w:lineRule="exact"/>
        <w:widowControl w:val="off"/>
        <w:rPr>
          <w:rFonts w:hint="eastAsia"/>
          <w:sz w:val="24"/>
          <w:szCs w:val="24"/>
          <w:lang w:val="en-US" w:eastAsia="zh-CN"/>
        </w:rPr>
      </w:pPr>
      <w:r/>
      <w:bookmarkStart w:id="27" w:name="_Toc38985268"/>
      <w:r/>
      <w:bookmarkStart w:id="28" w:name="_Toc35393626"/>
      <w:r/>
      <w:bookmarkStart w:id="29" w:name="_Toc35393795"/>
      <w:r>
        <w:rPr>
          <w:rFonts w:hint="eastAsia"/>
          <w:sz w:val="24"/>
          <w:szCs w:val="24"/>
          <w:lang w:val="en-US" w:eastAsia="zh-CN"/>
        </w:rPr>
        <w:t xml:space="preserve">自本公告发布之日起5个工作日。</w:t>
      </w:r>
      <w:bookmarkEnd w:id="27"/>
      <w:r/>
      <w:bookmarkEnd w:id="28"/>
      <w:r/>
      <w:bookmarkEnd w:id="29"/>
      <w:r/>
      <w:r/>
    </w:p>
    <w:p>
      <w:pPr>
        <w:ind w:firstLine="482"/>
        <w:keepLines w:val="0"/>
        <w:keepNext w:val="0"/>
        <w:pageBreakBefore w:val="0"/>
        <w:spacing w:line="520" w:lineRule="exact"/>
        <w:widowControl w:val="off"/>
        <w:rPr>
          <w:rFonts w:hint="eastAsia"/>
          <w:b/>
          <w:bCs/>
          <w:sz w:val="24"/>
          <w:szCs w:val="24"/>
        </w:rPr>
      </w:pPr>
      <w:r>
        <w:rPr>
          <w:rFonts w:hint="eastAsia"/>
          <w:b/>
          <w:bCs/>
          <w:sz w:val="24"/>
          <w:szCs w:val="24"/>
        </w:rPr>
        <w:t xml:space="preserve">六、其他补充事宜</w:t>
      </w:r>
      <w:r/>
    </w:p>
    <w:p>
      <w:pPr>
        <w:ind w:firstLine="480"/>
        <w:keepLines w:val="0"/>
        <w:keepNext w:val="0"/>
        <w:pageBreakBefore w:val="0"/>
        <w:spacing w:line="520" w:lineRule="exact"/>
        <w:widowControl w:val="off"/>
        <w:rPr>
          <w:rFonts w:hint="eastAsia"/>
          <w:sz w:val="24"/>
          <w:szCs w:val="24"/>
          <w:lang w:val="en-US" w:eastAsia="zh-CN"/>
        </w:rPr>
      </w:pPr>
      <w:r/>
      <w:bookmarkStart w:id="30" w:name="_Toc28359018"/>
      <w:r>
        <w:rPr>
          <w:rFonts w:hint="eastAsia"/>
          <w:sz w:val="24"/>
          <w:szCs w:val="24"/>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2. 潜在供应商访问电子招标响应交易平台的网络地址和方法： </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2.2 潜在投标人访问“苏采云”系统方法：江苏省政府采购网首页-“苏采云”链接。 </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2.3 采购文件（后缀名为“.kedt”）、供应商操作手册及政府采购客户端 工具可通过“苏采云”系统相应链接进行下载。 </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2.4 采购代理机构将数据电文形式的采购文件加载至“苏采云”系统，供潜在供应商下载或者查阅。 </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2.5 请潜在投标单位提前安装相应的控件（详见《“苏采云”系统供应商操作手册》）并使用谷歌浏览器登录“苏采云”系统参与不见面开评标。 </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如潜在投标人未按上述要求操作，将自行承担所产生的风险。</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3.有关本次招标的事项若存在变动或修改，敬请及时关注盐城市政府采购中心在“中国政府采购网”“江苏政府采购网”“盐城市政府采购网”发布的更正公告。</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4.本次招标不收取投标保证金，不收取质量保证金。</w:t>
      </w:r>
      <w:r/>
    </w:p>
    <w:p>
      <w:pPr>
        <w:ind w:firstLine="482"/>
        <w:keepLines w:val="0"/>
        <w:keepNext w:val="0"/>
        <w:pageBreakBefore w:val="0"/>
        <w:spacing w:line="520" w:lineRule="exact"/>
        <w:widowControl w:val="off"/>
        <w:rPr>
          <w:rFonts w:hint="eastAsia"/>
          <w:b/>
          <w:bCs/>
          <w:sz w:val="24"/>
          <w:szCs w:val="24"/>
        </w:rPr>
      </w:pPr>
      <w:r>
        <w:rPr>
          <w:rFonts w:hint="eastAsia"/>
          <w:b/>
          <w:bCs/>
          <w:sz w:val="24"/>
          <w:szCs w:val="24"/>
          <w:lang w:val="en-US" w:eastAsia="zh-CN"/>
        </w:rPr>
        <w:t xml:space="preserve">七</w:t>
      </w:r>
      <w:r>
        <w:rPr>
          <w:rFonts w:hint="eastAsia"/>
          <w:b/>
          <w:bCs/>
          <w:sz w:val="24"/>
          <w:szCs w:val="24"/>
        </w:rPr>
        <w:t xml:space="preserve">、对本次</w:t>
      </w:r>
      <w:r>
        <w:rPr>
          <w:rFonts w:hint="eastAsia"/>
          <w:b/>
          <w:bCs/>
          <w:sz w:val="24"/>
          <w:szCs w:val="24"/>
          <w:lang w:val="en-US" w:eastAsia="zh-CN"/>
        </w:rPr>
        <w:t xml:space="preserve">招标</w:t>
      </w:r>
      <w:r>
        <w:rPr>
          <w:rFonts w:hint="eastAsia"/>
          <w:b/>
          <w:bCs/>
          <w:sz w:val="24"/>
          <w:szCs w:val="24"/>
        </w:rPr>
        <w:t xml:space="preserve">提出询问，请按以下方式联系。</w:t>
      </w:r>
      <w:bookmarkEnd w:id="30"/>
      <w:r/>
      <w:r/>
    </w:p>
    <w:p>
      <w:pPr>
        <w:ind w:firstLine="480"/>
        <w:keepLines w:val="0"/>
        <w:keepNext w:val="0"/>
        <w:pageBreakBefore w:val="0"/>
        <w:spacing w:line="520" w:lineRule="exact"/>
        <w:widowControl w:val="off"/>
        <w:rPr>
          <w:rFonts w:hint="eastAsia"/>
          <w:sz w:val="24"/>
          <w:szCs w:val="24"/>
          <w:lang w:val="en-US" w:eastAsia="zh-CN"/>
        </w:rPr>
      </w:pPr>
      <w:r/>
      <w:bookmarkStart w:id="31" w:name="_Toc28359009"/>
      <w:r>
        <w:rPr>
          <w:rFonts w:hint="eastAsia"/>
          <w:sz w:val="24"/>
          <w:szCs w:val="24"/>
          <w:lang w:val="en-US" w:eastAsia="zh-CN"/>
        </w:rPr>
        <w:t xml:space="preserve">1.采购人信息</w:t>
      </w:r>
      <w:r/>
    </w:p>
    <w:p>
      <w:pPr>
        <w:ind w:firstLine="480"/>
        <w:keepLines w:val="0"/>
        <w:keepNext w:val="0"/>
        <w:pageBreakBefore w:val="0"/>
        <w:spacing w:line="520" w:lineRule="exact"/>
        <w:widowControl w:val="off"/>
        <w:rPr>
          <w:rFonts w:hint="default"/>
          <w:sz w:val="24"/>
          <w:szCs w:val="24"/>
          <w:lang w:val="en-US" w:eastAsia="zh-CN"/>
        </w:rPr>
      </w:pPr>
      <w:r>
        <w:rPr>
          <w:rFonts w:hint="eastAsia"/>
          <w:sz w:val="24"/>
          <w:szCs w:val="24"/>
          <w:lang w:val="en-US" w:eastAsia="zh-CN"/>
        </w:rPr>
        <w:t xml:space="preserve">名 称：江苏滨海经济开发区沿海工业园管理委员会</w:t>
      </w:r>
      <w:r/>
    </w:p>
    <w:p>
      <w:pPr>
        <w:ind w:firstLine="480"/>
        <w:keepLines w:val="0"/>
        <w:keepNext w:val="0"/>
        <w:pageBreakBefore w:val="0"/>
        <w:spacing w:line="520" w:lineRule="exact"/>
        <w:widowControl w:val="off"/>
        <w:rPr>
          <w:rFonts w:hint="default"/>
          <w:sz w:val="24"/>
          <w:szCs w:val="24"/>
          <w:lang w:val="en-US" w:eastAsia="zh-CN"/>
        </w:rPr>
      </w:pPr>
      <w:r>
        <w:rPr>
          <w:rFonts w:hint="eastAsia"/>
          <w:sz w:val="24"/>
          <w:szCs w:val="24"/>
          <w:lang w:val="en-US" w:eastAsia="zh-CN"/>
        </w:rPr>
        <w:t xml:space="preserve">地址：</w:t>
      </w:r>
      <w:r>
        <w:rPr>
          <w:rFonts w:ascii="宋体" w:hAnsi="宋体" w:eastAsia="宋体" w:cs="宋体"/>
          <w:sz w:val="24"/>
          <w:szCs w:val="24"/>
        </w:rPr>
        <w:t xml:space="preserve">滨海县滨淮镇东罾大道1号</w:t>
      </w:r>
      <w:r/>
    </w:p>
    <w:p>
      <w:pPr>
        <w:ind w:firstLine="480"/>
        <w:keepLines w:val="0"/>
        <w:keepNext w:val="0"/>
        <w:pageBreakBefore w:val="0"/>
        <w:spacing w:line="520" w:lineRule="exact"/>
        <w:widowControl w:val="off"/>
        <w:rPr>
          <w:rFonts w:hint="eastAsia"/>
          <w:sz w:val="24"/>
          <w:szCs w:val="24"/>
          <w:highlight w:val="none"/>
          <w:lang w:val="en-US" w:eastAsia="zh-CN"/>
        </w:rPr>
      </w:pPr>
      <w:r>
        <w:rPr>
          <w:rFonts w:hint="eastAsia"/>
          <w:sz w:val="24"/>
          <w:szCs w:val="24"/>
          <w:highlight w:val="none"/>
          <w:lang w:val="en-US" w:eastAsia="zh-CN"/>
        </w:rPr>
        <w:t xml:space="preserve">联系人：</w:t>
      </w:r>
      <w:r>
        <w:rPr>
          <w:rFonts w:hint="eastAsia" w:ascii="宋体" w:hAnsi="宋体" w:eastAsia="宋体" w:cs="Times New Roman"/>
          <w:bCs/>
          <w:color w:val="auto"/>
          <w:sz w:val="24"/>
        </w:rPr>
        <w:t xml:space="preserve">郑先生</w:t>
      </w:r>
      <w:r/>
    </w:p>
    <w:p>
      <w:pPr>
        <w:ind w:firstLine="480"/>
        <w:keepLines w:val="0"/>
        <w:keepNext w:val="0"/>
        <w:pageBreakBefore w:val="0"/>
        <w:spacing w:line="520" w:lineRule="exact"/>
        <w:widowControl w:val="off"/>
        <w:rPr>
          <w:rFonts w:hint="default"/>
          <w:sz w:val="24"/>
          <w:szCs w:val="24"/>
          <w:highlight w:val="none"/>
          <w:lang w:val="en-US" w:eastAsia="zh-CN"/>
        </w:rPr>
      </w:pPr>
      <w:r>
        <w:rPr>
          <w:rFonts w:hint="eastAsia"/>
          <w:sz w:val="24"/>
          <w:szCs w:val="24"/>
          <w:highlight w:val="none"/>
          <w:lang w:val="en-US" w:eastAsia="zh-CN"/>
        </w:rPr>
        <w:t xml:space="preserve">联系方式：</w:t>
      </w:r>
      <w:r>
        <w:rPr>
          <w:rFonts w:hint="eastAsia" w:ascii="宋体" w:hAnsi="宋体" w:eastAsia="宋体" w:cs="Times New Roman"/>
          <w:bCs/>
          <w:color w:val="auto"/>
          <w:sz w:val="24"/>
        </w:rPr>
        <w:t xml:space="preserve">13961946499</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2.采购代理机构信息</w:t>
      </w:r>
      <w:r/>
    </w:p>
    <w:p>
      <w:pPr>
        <w:ind w:firstLine="480"/>
        <w:keepLines w:val="0"/>
        <w:keepNext w:val="0"/>
        <w:pageBreakBefore w:val="0"/>
        <w:spacing w:line="520" w:lineRule="exact"/>
        <w:widowControl w:val="off"/>
        <w:rPr>
          <w:rFonts w:hint="default"/>
          <w:sz w:val="24"/>
          <w:szCs w:val="24"/>
          <w:lang w:val="en-US" w:eastAsia="zh-CN"/>
        </w:rPr>
      </w:pPr>
      <w:r>
        <w:rPr>
          <w:rFonts w:hint="eastAsia"/>
          <w:sz w:val="24"/>
          <w:szCs w:val="24"/>
          <w:lang w:val="en-US" w:eastAsia="zh-CN"/>
        </w:rPr>
        <w:t xml:space="preserve">名 称：</w:t>
      </w:r>
      <w:r>
        <w:rPr>
          <w:rFonts w:hint="eastAsia" w:ascii="宋体" w:hAnsi="宋体" w:eastAsia="宋体" w:cs="宋体"/>
          <w:color w:val="000000"/>
          <w:sz w:val="24"/>
          <w:szCs w:val="24"/>
          <w:highlight w:val="none"/>
          <w:lang w:val="en-US" w:eastAsia="zh-CN"/>
        </w:rPr>
        <w:t xml:space="preserve">盐城市弘盛招标代理有限公司</w:t>
      </w:r>
      <w:r>
        <w:rPr>
          <w:rFonts w:hint="eastAsia"/>
          <w:sz w:val="24"/>
          <w:szCs w:val="24"/>
          <w:lang w:val="en-US" w:eastAsia="zh-CN"/>
        </w:rPr>
        <w:t xml:space="preserve"> </w:t>
      </w:r>
      <w:r/>
    </w:p>
    <w:p>
      <w:pPr>
        <w:ind w:firstLine="480"/>
        <w:keepLines w:val="0"/>
        <w:keepNext w:val="0"/>
        <w:pageBreakBefore w:val="0"/>
        <w:spacing w:line="520" w:lineRule="exact"/>
        <w:widowControl w:val="off"/>
        <w:rPr>
          <w:rFonts w:hint="default"/>
          <w:sz w:val="24"/>
          <w:szCs w:val="24"/>
          <w:lang w:val="en-US" w:eastAsia="zh-CN"/>
        </w:rPr>
      </w:pPr>
      <w:r>
        <w:rPr>
          <w:rFonts w:hint="eastAsia"/>
          <w:sz w:val="24"/>
          <w:szCs w:val="24"/>
          <w:lang w:val="en-US" w:eastAsia="zh-CN"/>
        </w:rPr>
        <w:t xml:space="preserve">地 址：</w:t>
      </w:r>
      <w:r>
        <w:rPr>
          <w:rFonts w:ascii="宋体" w:hAnsi="宋体" w:eastAsia="宋体" w:cs="宋体"/>
          <w:sz w:val="24"/>
          <w:szCs w:val="24"/>
        </w:rPr>
        <w:t xml:space="preserve">滨海县政务服务中心（育才西路166号）2楼2108室</w:t>
      </w:r>
      <w:r/>
    </w:p>
    <w:p>
      <w:pPr>
        <w:ind w:firstLine="480"/>
        <w:keepLines w:val="0"/>
        <w:keepNext w:val="0"/>
        <w:pageBreakBefore w:val="0"/>
        <w:spacing w:line="520" w:lineRule="exact"/>
        <w:widowControl w:val="off"/>
        <w:rPr>
          <w:rFonts w:hint="eastAsia" w:eastAsiaTheme="minorEastAsia"/>
          <w:sz w:val="24"/>
          <w:szCs w:val="24"/>
          <w:lang w:val="en-US" w:eastAsia="zh-CN"/>
        </w:rPr>
      </w:pPr>
      <w:r>
        <w:rPr>
          <w:rFonts w:hint="eastAsia"/>
          <w:sz w:val="24"/>
          <w:szCs w:val="24"/>
          <w:lang w:val="en-US" w:eastAsia="zh-CN"/>
        </w:rPr>
        <w:t xml:space="preserve">联系人：</w:t>
      </w:r>
      <w:r>
        <w:rPr>
          <w:rFonts w:hint="eastAsia" w:ascii="宋体" w:hAnsi="宋体" w:eastAsia="宋体" w:cs="Times New Roman"/>
          <w:bCs/>
          <w:color w:val="auto"/>
          <w:sz w:val="24"/>
          <w:lang w:val="en-US" w:eastAsia="zh-CN"/>
        </w:rPr>
        <w:t xml:space="preserve">张女士</w:t>
      </w:r>
      <w:r/>
    </w:p>
    <w:p>
      <w:pPr>
        <w:ind w:firstLine="480"/>
        <w:keepLines w:val="0"/>
        <w:keepNext w:val="0"/>
        <w:pageBreakBefore w:val="0"/>
        <w:spacing w:line="520" w:lineRule="exact"/>
        <w:widowControl w:val="off"/>
        <w:rPr>
          <w:rFonts w:hint="default" w:eastAsiaTheme="minorEastAsia"/>
          <w:sz w:val="24"/>
          <w:szCs w:val="24"/>
          <w:lang w:val="en-US" w:eastAsia="zh-CN"/>
        </w:rPr>
      </w:pPr>
      <w:r>
        <w:rPr>
          <w:rFonts w:hint="eastAsia"/>
          <w:sz w:val="24"/>
          <w:szCs w:val="24"/>
          <w:lang w:val="en-US" w:eastAsia="zh-CN"/>
        </w:rPr>
        <w:t xml:space="preserve">联系方式：</w:t>
      </w:r>
      <w:r>
        <w:rPr>
          <w:rFonts w:hint="eastAsia" w:ascii="宋体" w:hAnsi="宋体" w:eastAsia="宋体" w:cs="Times New Roman"/>
          <w:bCs/>
          <w:color w:val="auto"/>
          <w:sz w:val="24"/>
          <w:lang w:val="en-US" w:eastAsia="zh-CN"/>
        </w:rPr>
        <w:t xml:space="preserve">15151022167</w:t>
      </w:r>
      <w:r/>
    </w:p>
    <w:p>
      <w:pPr>
        <w:ind w:firstLine="480"/>
        <w:keepLines w:val="0"/>
        <w:keepNext w:val="0"/>
        <w:pageBreakBefore w:val="0"/>
        <w:spacing w:line="520" w:lineRule="exact"/>
        <w:widowControl w:val="off"/>
        <w:rPr>
          <w:rFonts w:hint="eastAsia"/>
          <w:sz w:val="24"/>
          <w:szCs w:val="24"/>
          <w:lang w:val="en-US" w:eastAsia="zh-CN"/>
        </w:rPr>
      </w:pPr>
      <w:r/>
      <w:bookmarkStart w:id="32" w:name="_Toc28359021"/>
      <w:r>
        <w:rPr>
          <w:rFonts w:hint="eastAsia"/>
          <w:sz w:val="24"/>
          <w:szCs w:val="24"/>
          <w:lang w:val="en-US" w:eastAsia="zh-CN"/>
        </w:rPr>
        <w:t xml:space="preserve">3.</w:t>
      </w:r>
      <w:bookmarkEnd w:id="32"/>
      <w:r>
        <w:rPr>
          <w:rFonts w:hint="eastAsia"/>
          <w:sz w:val="24"/>
          <w:szCs w:val="24"/>
          <w:lang w:val="en-US" w:eastAsia="zh-CN"/>
        </w:rPr>
        <w:t xml:space="preserve">项目联系方式</w:t>
      </w:r>
      <w:r/>
    </w:p>
    <w:p>
      <w:pPr>
        <w:ind w:firstLine="480"/>
        <w:keepLines w:val="0"/>
        <w:keepNext w:val="0"/>
        <w:pageBreakBefore w:val="0"/>
        <w:spacing w:line="520" w:lineRule="exact"/>
        <w:widowControl w:val="off"/>
        <w:rPr>
          <w:rFonts w:hint="default"/>
          <w:sz w:val="24"/>
          <w:szCs w:val="24"/>
          <w:lang w:val="en-US" w:eastAsia="zh-CN"/>
        </w:rPr>
      </w:pPr>
      <w:r>
        <w:rPr>
          <w:rFonts w:hint="eastAsia"/>
          <w:sz w:val="24"/>
          <w:szCs w:val="24"/>
          <w:lang w:val="en-US" w:eastAsia="zh-CN"/>
        </w:rPr>
        <w:t xml:space="preserve">项目联系人：</w:t>
      </w:r>
      <w:r>
        <w:rPr>
          <w:rFonts w:hint="eastAsia" w:ascii="宋体" w:hAnsi="宋体" w:eastAsia="宋体" w:cs="Times New Roman"/>
          <w:bCs/>
          <w:color w:val="auto"/>
          <w:sz w:val="24"/>
          <w:lang w:val="en-US" w:eastAsia="zh-CN"/>
        </w:rPr>
        <w:t xml:space="preserve">张女士</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t xml:space="preserve">电　　话：</w:t>
      </w:r>
      <w:r>
        <w:rPr>
          <w:rFonts w:hint="eastAsia" w:ascii="宋体" w:hAnsi="宋体" w:eastAsia="宋体" w:cs="Times New Roman"/>
          <w:bCs/>
          <w:color w:val="auto"/>
          <w:sz w:val="24"/>
          <w:lang w:val="en-US" w:eastAsia="zh-CN"/>
        </w:rPr>
        <w:t xml:space="preserve">15151022167</w:t>
      </w:r>
      <w:r/>
    </w:p>
    <w:p>
      <w:pPr>
        <w:ind w:firstLine="480"/>
        <w:keepLines w:val="0"/>
        <w:keepNext w:val="0"/>
        <w:pageBreakBefore w:val="0"/>
        <w:spacing w:line="520" w:lineRule="exact"/>
        <w:widowControl w:val="off"/>
        <w:rPr>
          <w:rFonts w:hint="eastAsia"/>
          <w:sz w:val="24"/>
          <w:szCs w:val="24"/>
          <w:lang w:val="en-US" w:eastAsia="zh-CN"/>
        </w:rPr>
      </w:pPr>
      <w:r>
        <w:rPr>
          <w:rFonts w:hint="eastAsia"/>
          <w:sz w:val="24"/>
          <w:szCs w:val="24"/>
          <w:lang w:val="en-US" w:eastAsia="zh-CN"/>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pStyle w:val="645"/>
        <w:ind w:right="840"/>
        <w:jc w:val="center"/>
        <w:spacing w:beforeAutospacing="0" w:afterAutospacing="0"/>
        <w:rPr>
          <w:highlight w:val="none"/>
        </w:rPr>
      </w:pPr>
      <w:r>
        <w:rPr>
          <w:rFonts w:hint="eastAsia" w:ascii="宋体" w:hAnsi="宋体" w:eastAsia="宋体" w:cs="宋体"/>
          <w:color w:val="000000"/>
          <w:sz w:val="24"/>
          <w:szCs w:val="24"/>
          <w:highlight w:val="none"/>
        </w:rPr>
        <w:br w:type="page" w:clear="all"/>
      </w:r>
      <w:bookmarkStart w:id="33" w:name="_Toc120614211"/>
      <w:r>
        <w:rPr>
          <w:rFonts w:hint="eastAsia" w:ascii="黑体" w:hAnsi="宋体" w:eastAsia="黑体" w:cs="黑体"/>
          <w:b/>
          <w:color w:val="000000"/>
          <w:sz w:val="44"/>
          <w:szCs w:val="44"/>
          <w:highlight w:val="none"/>
        </w:rPr>
        <w:t xml:space="preserve">第二章 </w:t>
      </w:r>
      <w:bookmarkEnd w:id="33"/>
      <w:r/>
      <w:bookmarkStart w:id="34" w:name="_Toc20823274"/>
      <w:r/>
      <w:bookmarkStart w:id="35" w:name="_Toc120614213"/>
      <w:r/>
      <w:bookmarkStart w:id="36" w:name="_Toc16938518"/>
      <w:r/>
      <w:bookmarkStart w:id="37" w:name="_Toc513029202"/>
      <w:r>
        <w:rPr>
          <w:rFonts w:hint="eastAsia" w:ascii="黑体" w:hAnsi="宋体" w:eastAsia="黑体" w:cs="黑体"/>
          <w:b/>
          <w:color w:val="000000"/>
          <w:sz w:val="44"/>
          <w:szCs w:val="44"/>
          <w:highlight w:val="none"/>
        </w:rPr>
        <w:t xml:space="preserve">投标人须知</w:t>
      </w:r>
      <w:bookmarkEnd w:id="34"/>
      <w:r/>
      <w:bookmarkEnd w:id="35"/>
      <w:r/>
      <w:bookmarkEnd w:id="36"/>
      <w:r/>
      <w:bookmarkEnd w:id="37"/>
      <w:r/>
      <w:r/>
    </w:p>
    <w:p>
      <w:pPr>
        <w:pStyle w:val="645"/>
        <w:ind w:firstLine="498"/>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38" w:name="_Toc513029203"/>
      <w:r/>
      <w:bookmarkStart w:id="39" w:name="_Toc120614214"/>
      <w:r/>
      <w:bookmarkStart w:id="40" w:name="_Toc20823275"/>
      <w:r/>
      <w:bookmarkStart w:id="41" w:name="_Toc16938519"/>
      <w:r>
        <w:rPr>
          <w:rFonts w:hint="eastAsia" w:ascii="宋体" w:hAnsi="宋体" w:eastAsia="宋体" w:cs="宋体"/>
          <w:b/>
          <w:color w:val="000000"/>
          <w:sz w:val="24"/>
          <w:szCs w:val="24"/>
          <w:highlight w:val="none"/>
        </w:rPr>
        <w:t xml:space="preserve">一、总则</w:t>
      </w:r>
      <w:bookmarkEnd w:id="38"/>
      <w:r/>
      <w:bookmarkEnd w:id="39"/>
      <w:r/>
      <w:bookmarkEnd w:id="40"/>
      <w:r/>
      <w:bookmarkEnd w:id="41"/>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42" w:name="_Toc16938520"/>
      <w:r/>
      <w:bookmarkStart w:id="43" w:name="_Toc458694821"/>
      <w:r/>
      <w:bookmarkStart w:id="44" w:name="_Toc20823276"/>
      <w:r/>
      <w:bookmarkStart w:id="45" w:name="_Toc513029204"/>
      <w:r/>
      <w:bookmarkStart w:id="46" w:name="_Hlt16619475"/>
      <w:r>
        <w:rPr>
          <w:rFonts w:hint="eastAsia" w:ascii="宋体" w:hAnsi="宋体" w:eastAsia="宋体" w:cs="宋体"/>
          <w:color w:val="000000"/>
          <w:sz w:val="24"/>
          <w:szCs w:val="24"/>
          <w:highlight w:val="none"/>
        </w:rPr>
        <w:t xml:space="preserve">1</w:t>
      </w:r>
      <w:bookmarkEnd w:id="42"/>
      <w:r>
        <w:rPr>
          <w:rFonts w:hint="eastAsia" w:ascii="宋体" w:hAnsi="宋体" w:eastAsia="宋体" w:cs="宋体"/>
          <w:color w:val="000000"/>
          <w:sz w:val="24"/>
          <w:szCs w:val="24"/>
          <w:highlight w:val="none"/>
        </w:rPr>
        <w:t xml:space="preserve">、招标方式</w:t>
      </w:r>
      <w:bookmarkEnd w:id="43"/>
      <w:r/>
      <w:bookmarkEnd w:id="44"/>
      <w:r/>
      <w:bookmarkEnd w:id="45"/>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1.1本次招标采取公开招标方式，本招标文件仅适用于招标公告中所述项目。</w:t>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47" w:name="_Toc20823277"/>
      <w:r/>
      <w:bookmarkStart w:id="48" w:name="_Toc16938521"/>
      <w:r/>
      <w:bookmarkStart w:id="49" w:name="_Toc513029205"/>
      <w:r>
        <w:rPr>
          <w:rFonts w:hint="eastAsia" w:ascii="宋体" w:hAnsi="宋体" w:eastAsia="宋体" w:cs="宋体"/>
          <w:color w:val="000000"/>
          <w:sz w:val="24"/>
          <w:szCs w:val="24"/>
          <w:highlight w:val="none"/>
        </w:rPr>
        <w:t xml:space="preserve">2、合格的投标人</w:t>
      </w:r>
      <w:bookmarkEnd w:id="47"/>
      <w:r/>
      <w:bookmarkEnd w:id="48"/>
      <w:r/>
      <w:bookmarkEnd w:id="49"/>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2.1满足招标公告中供应商的资格要求的规定。</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2.2满足本文件实质性要求和条件的规定。</w:t>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50" w:name="_Toc513029206"/>
      <w:r/>
      <w:bookmarkStart w:id="51" w:name="_Toc16938522"/>
      <w:r/>
      <w:bookmarkStart w:id="52" w:name="_Toc20823278"/>
      <w:r>
        <w:rPr>
          <w:rFonts w:hint="eastAsia" w:ascii="宋体" w:hAnsi="宋体" w:eastAsia="宋体" w:cs="宋体"/>
          <w:color w:val="000000"/>
          <w:sz w:val="24"/>
          <w:szCs w:val="24"/>
          <w:highlight w:val="none"/>
        </w:rPr>
        <w:t xml:space="preserve">3、适用法律</w:t>
      </w:r>
      <w:bookmarkEnd w:id="50"/>
      <w:r/>
      <w:bookmarkEnd w:id="51"/>
      <w:r/>
      <w:bookmarkEnd w:id="52"/>
      <w:r/>
      <w:r/>
    </w:p>
    <w:p>
      <w:pPr>
        <w:pStyle w:val="645"/>
        <w:ind w:firstLine="42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3.1本次招标及由此产生的合同受中华人民共和国有关的法律法规制约和保护。</w:t>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53" w:name="_Toc513029207"/>
      <w:r/>
      <w:bookmarkStart w:id="54" w:name="_Toc16938523"/>
      <w:r/>
      <w:bookmarkStart w:id="55" w:name="_Toc462564067"/>
      <w:r/>
      <w:bookmarkStart w:id="56" w:name="_Toc20823279"/>
      <w:r>
        <w:rPr>
          <w:rFonts w:hint="eastAsia" w:ascii="宋体" w:hAnsi="宋体" w:eastAsia="宋体" w:cs="宋体"/>
          <w:color w:val="000000"/>
          <w:sz w:val="24"/>
          <w:szCs w:val="24"/>
          <w:highlight w:val="none"/>
        </w:rPr>
        <w:t xml:space="preserve">4、投标费用</w:t>
      </w:r>
      <w:bookmarkEnd w:id="53"/>
      <w:r/>
      <w:bookmarkEnd w:id="54"/>
      <w:r/>
      <w:bookmarkEnd w:id="55"/>
      <w:r/>
      <w:bookmarkEnd w:id="56"/>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4.1投标人应自行承担所有与参加投标有关的费用，无论投标过程中的做法和结果如何，</w:t>
      </w:r>
      <w:r>
        <w:rPr>
          <w:rFonts w:hint="eastAsia" w:ascii="宋体" w:hAnsi="宋体" w:eastAsia="宋体" w:cs="宋体"/>
          <w:color w:val="000000"/>
          <w:sz w:val="24"/>
          <w:szCs w:val="24"/>
          <w:highlight w:val="none"/>
          <w:lang w:val="en-US" w:eastAsia="zh-CN"/>
        </w:rPr>
        <w:t xml:space="preserve">盐城市弘盛招标代理有限公司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）在任何情况下均无义务和责任承担这些费用。</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4.2本次招标</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和采购人不收取标书工本费与中标服务费。</w:t>
      </w:r>
      <w:r/>
    </w:p>
    <w:p>
      <w:pPr>
        <w:pStyle w:val="645"/>
        <w:ind w:firstLine="602"/>
        <w:jc w:val="both"/>
        <w:keepLines/>
        <w:keepNext/>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5、</w:t>
      </w:r>
      <w:r>
        <w:rPr>
          <w:rFonts w:hint="eastAsia" w:ascii="宋体" w:hAnsi="宋体" w:eastAsia="宋体" w:cs="宋体"/>
          <w:color w:val="000000"/>
          <w:sz w:val="24"/>
          <w:szCs w:val="24"/>
          <w:highlight w:val="none"/>
        </w:rPr>
        <w:t xml:space="preserve">招标文件的约束力</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5.1投标人一旦参加本项目采购活动，即被认为接受了本招标文件的规定和约束。</w:t>
      </w:r>
      <w:r/>
    </w:p>
    <w:p>
      <w:pPr>
        <w:pStyle w:val="645"/>
        <w:ind w:firstLine="321"/>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57" w:name="_Toc513029209"/>
      <w:r/>
      <w:bookmarkStart w:id="58" w:name="_Toc20823281"/>
      <w:r/>
      <w:bookmarkStart w:id="59" w:name="_Toc120614215"/>
      <w:r/>
      <w:bookmarkStart w:id="60" w:name="_Toc16938525"/>
      <w:r>
        <w:rPr>
          <w:rFonts w:hint="eastAsia" w:ascii="宋体" w:hAnsi="宋体" w:eastAsia="宋体" w:cs="宋体"/>
          <w:b/>
          <w:color w:val="000000"/>
          <w:sz w:val="24"/>
          <w:szCs w:val="24"/>
          <w:highlight w:val="none"/>
        </w:rPr>
        <w:t xml:space="preserve">二、招标文件</w:t>
      </w:r>
      <w:bookmarkEnd w:id="57"/>
      <w:r/>
      <w:bookmarkEnd w:id="58"/>
      <w:r/>
      <w:bookmarkEnd w:id="59"/>
      <w:r/>
      <w:bookmarkEnd w:id="60"/>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61" w:name="_Toc16938526"/>
      <w:r/>
      <w:bookmarkStart w:id="62" w:name="_Toc513029210"/>
      <w:r/>
      <w:bookmarkStart w:id="63" w:name="_Toc20823282"/>
      <w:r>
        <w:rPr>
          <w:rFonts w:hint="eastAsia" w:ascii="宋体" w:hAnsi="宋体" w:eastAsia="宋体" w:cs="宋体"/>
          <w:color w:val="000000"/>
          <w:sz w:val="24"/>
          <w:szCs w:val="24"/>
          <w:highlight w:val="none"/>
        </w:rPr>
        <w:t xml:space="preserve">6、招标文件构成</w:t>
      </w:r>
      <w:bookmarkEnd w:id="61"/>
      <w:r/>
      <w:bookmarkEnd w:id="62"/>
      <w:r/>
      <w:bookmarkEnd w:id="63"/>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6.1 招标文件由以下部分组成：</w:t>
      </w:r>
      <w:r/>
    </w:p>
    <w:p>
      <w:pPr>
        <w:pStyle w:val="645"/>
        <w:ind w:firstLine="360"/>
        <w:jc w:val="both"/>
        <w:spacing w:beforeAutospacing="0" w:afterAutospacing="0" w:line="0" w:lineRule="atLeast"/>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招标公告</w:t>
      </w:r>
      <w:r/>
    </w:p>
    <w:p>
      <w:pPr>
        <w:pStyle w:val="64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（2）投标人须知</w:t>
      </w:r>
      <w:r/>
    </w:p>
    <w:p>
      <w:pPr>
        <w:pStyle w:val="64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（3）合同文本</w:t>
      </w:r>
      <w:r/>
    </w:p>
    <w:p>
      <w:pPr>
        <w:pStyle w:val="64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（4）采购需求</w:t>
      </w:r>
      <w:r/>
    </w:p>
    <w:p>
      <w:pPr>
        <w:pStyle w:val="645"/>
        <w:ind w:firstLine="360"/>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（5）评标方法与评标标准</w:t>
      </w:r>
      <w:r/>
    </w:p>
    <w:p>
      <w:pPr>
        <w:pStyle w:val="645"/>
        <w:ind w:firstLine="36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（6）投标文件格式</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请仔细检查招标文件是否齐全，如有缺漏请立即与</w:t>
      </w:r>
      <w:r>
        <w:rPr>
          <w:rFonts w:hint="eastAsia" w:ascii="宋体" w:hAnsi="宋体" w:eastAsia="宋体" w:cs="宋体"/>
          <w:color w:val="000000"/>
          <w:sz w:val="24"/>
          <w:szCs w:val="24"/>
          <w:highlight w:val="none"/>
          <w:lang w:eastAsia="zh-CN"/>
        </w:rPr>
        <w:t xml:space="preserve">采购代理机构</w:t>
      </w:r>
      <w:r>
        <w:rPr>
          <w:rFonts w:hint="eastAsia" w:ascii="宋体" w:hAnsi="宋体" w:eastAsia="宋体" w:cs="宋体"/>
          <w:color w:val="000000"/>
          <w:sz w:val="24"/>
          <w:szCs w:val="24"/>
          <w:highlight w:val="none"/>
        </w:rPr>
        <w:t xml:space="preserve">联系解决。</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5"/>
        <w:ind w:firstLine="560"/>
        <w:jc w:val="both"/>
        <w:keepLines/>
        <w:keepNext/>
        <w:spacing w:beforeAutospacing="0" w:afterAutospacing="0"/>
        <w:rPr>
          <w:rFonts w:hint="eastAsia" w:ascii="宋体" w:hAnsi="宋体" w:eastAsia="宋体" w:cs="宋体"/>
          <w:sz w:val="24"/>
          <w:szCs w:val="24"/>
          <w:highlight w:val="none"/>
        </w:rPr>
      </w:pPr>
      <w:r/>
      <w:bookmarkStart w:id="64" w:name="_Toc16938527"/>
      <w:r/>
      <w:bookmarkStart w:id="65" w:name="_Toc20823283"/>
      <w:r/>
      <w:bookmarkStart w:id="66" w:name="_Toc513029211"/>
      <w:r/>
      <w:bookmarkStart w:id="67" w:name="_Toc462564070"/>
      <w:r>
        <w:rPr>
          <w:rFonts w:hint="eastAsia" w:ascii="宋体" w:hAnsi="宋体" w:eastAsia="宋体" w:cs="宋体"/>
          <w:color w:val="000000"/>
          <w:sz w:val="24"/>
          <w:szCs w:val="24"/>
          <w:highlight w:val="none"/>
        </w:rPr>
        <w:t xml:space="preserve">7、招标文件的澄清</w:t>
      </w:r>
      <w:bookmarkEnd w:id="64"/>
      <w:r/>
      <w:bookmarkEnd w:id="65"/>
      <w:r/>
      <w:bookmarkEnd w:id="66"/>
      <w:r/>
      <w:bookmarkEnd w:id="67"/>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7.1任何要求对招标文件进行澄清的投标人，应在投标截止期</w:t>
      </w:r>
      <w:r>
        <w:rPr>
          <w:rFonts w:hint="eastAsia" w:ascii="宋体" w:hAnsi="宋体" w:eastAsia="宋体" w:cs="宋体"/>
          <w:b/>
          <w:color w:val="000000"/>
          <w:sz w:val="24"/>
          <w:szCs w:val="24"/>
          <w:highlight w:val="none"/>
        </w:rPr>
        <w:t xml:space="preserve">十日</w:t>
      </w:r>
      <w:r>
        <w:rPr>
          <w:rFonts w:hint="eastAsia" w:ascii="宋体" w:hAnsi="宋体" w:eastAsia="宋体" w:cs="宋体"/>
          <w:color w:val="000000"/>
          <w:sz w:val="24"/>
          <w:szCs w:val="24"/>
          <w:highlight w:val="none"/>
        </w:rPr>
        <w:t xml:space="preserve">前按招标公告中的通讯地址，以书面形式通知</w:t>
      </w:r>
      <w:r>
        <w:rPr>
          <w:rFonts w:hint="eastAsia" w:ascii="宋体" w:hAnsi="宋体" w:eastAsia="宋体" w:cs="宋体"/>
          <w:color w:val="000000"/>
          <w:sz w:val="24"/>
          <w:szCs w:val="24"/>
        </w:rPr>
        <w:t xml:space="preserve">采购人或采购代理机构</w:t>
      </w:r>
      <w:r>
        <w:rPr>
          <w:rFonts w:hint="eastAsia" w:ascii="宋体" w:hAnsi="宋体" w:eastAsia="宋体" w:cs="宋体"/>
          <w:color w:val="000000"/>
          <w:sz w:val="24"/>
          <w:szCs w:val="24"/>
          <w:highlight w:val="none"/>
        </w:rPr>
        <w:t xml:space="preserve">。</w:t>
      </w:r>
      <w:r/>
    </w:p>
    <w:p>
      <w:pPr>
        <w:pStyle w:val="645"/>
        <w:ind w:firstLine="560"/>
        <w:jc w:val="both"/>
        <w:keepLines/>
        <w:keepNext/>
        <w:spacing w:beforeAutospacing="0" w:afterAutospacing="0"/>
        <w:rPr>
          <w:rFonts w:hint="eastAsia" w:ascii="宋体" w:hAnsi="宋体" w:eastAsia="宋体" w:cs="宋体"/>
          <w:sz w:val="24"/>
          <w:szCs w:val="24"/>
          <w:highlight w:val="none"/>
        </w:rPr>
      </w:pPr>
      <w:r/>
      <w:bookmarkStart w:id="68" w:name="_Toc16938528"/>
      <w:r/>
      <w:bookmarkStart w:id="69" w:name="_Toc462564071"/>
      <w:r/>
      <w:bookmarkStart w:id="70" w:name="_Toc513029212"/>
      <w:r/>
      <w:bookmarkStart w:id="71" w:name="_Toc20823284"/>
      <w:r>
        <w:rPr>
          <w:rFonts w:hint="eastAsia" w:ascii="宋体" w:hAnsi="宋体" w:eastAsia="宋体" w:cs="宋体"/>
          <w:color w:val="000000"/>
          <w:sz w:val="24"/>
          <w:szCs w:val="24"/>
          <w:highlight w:val="none"/>
        </w:rPr>
        <w:t xml:space="preserve">8、招标文件的修改</w:t>
      </w:r>
      <w:bookmarkEnd w:id="68"/>
      <w:r/>
      <w:bookmarkEnd w:id="69"/>
      <w:r/>
      <w:bookmarkEnd w:id="70"/>
      <w:r/>
      <w:bookmarkEnd w:id="71"/>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8.1在投标截止时间前，采购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可以对招标文件进行修改。</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有权按照法定的要求推迟投标截止日期和开标日期。</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8.3招标文件的修改将在</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盐城市政府采购网公布，补充文件将作为招标文件的组成部分，并对投标人具有约束力。</w:t>
      </w:r>
      <w:r/>
    </w:p>
    <w:p>
      <w:pPr>
        <w:pStyle w:val="64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72" w:name="_Toc16938529"/>
      <w:r/>
      <w:bookmarkStart w:id="73" w:name="_Toc513029213"/>
      <w:r/>
      <w:bookmarkStart w:id="74" w:name="_Toc20823285"/>
      <w:r/>
      <w:bookmarkStart w:id="75" w:name="_Toc120614216"/>
      <w:r/>
      <w:bookmarkStart w:id="76" w:name="_Toc462564072"/>
      <w:r>
        <w:rPr>
          <w:rFonts w:hint="eastAsia" w:ascii="宋体" w:hAnsi="宋体" w:eastAsia="宋体" w:cs="宋体"/>
          <w:b/>
          <w:color w:val="000000"/>
          <w:sz w:val="24"/>
          <w:szCs w:val="24"/>
          <w:highlight w:val="none"/>
        </w:rPr>
        <w:t xml:space="preserve">三、投标文件的编制</w:t>
      </w:r>
      <w:bookmarkEnd w:id="72"/>
      <w:r/>
      <w:bookmarkEnd w:id="73"/>
      <w:r/>
      <w:bookmarkEnd w:id="74"/>
      <w:r/>
      <w:bookmarkEnd w:id="75"/>
      <w:r/>
      <w:bookmarkEnd w:id="76"/>
      <w:r/>
      <w:r/>
    </w:p>
    <w:p>
      <w:pPr>
        <w:pStyle w:val="645"/>
        <w:ind w:firstLine="560"/>
        <w:jc w:val="both"/>
        <w:keepLines/>
        <w:keepNext/>
        <w:spacing w:beforeAutospacing="0" w:afterAutospacing="0"/>
        <w:rPr>
          <w:rFonts w:hint="eastAsia" w:ascii="宋体" w:hAnsi="宋体" w:eastAsia="宋体" w:cs="宋体"/>
          <w:sz w:val="24"/>
          <w:szCs w:val="24"/>
          <w:highlight w:val="none"/>
        </w:rPr>
      </w:pPr>
      <w:r/>
      <w:bookmarkStart w:id="77" w:name="_Toc513029214"/>
      <w:r/>
      <w:bookmarkStart w:id="78" w:name="_Toc462564073"/>
      <w:r/>
      <w:bookmarkStart w:id="79" w:name="_Toc20823286"/>
      <w:r/>
      <w:bookmarkStart w:id="80" w:name="_Toc16938530"/>
      <w:r>
        <w:rPr>
          <w:rFonts w:hint="eastAsia" w:ascii="宋体" w:hAnsi="宋体" w:eastAsia="宋体" w:cs="宋体"/>
          <w:color w:val="000000"/>
          <w:sz w:val="24"/>
          <w:szCs w:val="24"/>
          <w:highlight w:val="none"/>
        </w:rPr>
        <w:t xml:space="preserve">9、投标文件的语言及度量衡单位</w:t>
      </w:r>
      <w:bookmarkEnd w:id="77"/>
      <w:r/>
      <w:bookmarkEnd w:id="78"/>
      <w:r/>
      <w:bookmarkEnd w:id="79"/>
      <w:r/>
      <w:bookmarkEnd w:id="80"/>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9.1投标人提交的投标文件以及投标人与</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eastAsia="zh-CN"/>
        </w:rPr>
        <w:t xml:space="preserve">（或采购代理机构）</w:t>
      </w:r>
      <w:r>
        <w:rPr>
          <w:rFonts w:hint="eastAsia" w:ascii="宋体" w:hAnsi="宋体" w:eastAsia="宋体" w:cs="宋体"/>
          <w:color w:val="000000"/>
          <w:sz w:val="24"/>
          <w:szCs w:val="24"/>
          <w:highlight w:val="none"/>
        </w:rPr>
        <w:t xml:space="preserve">就有关投标的所有来往通知、函件和文件均应使用</w:t>
      </w:r>
      <w:r>
        <w:rPr>
          <w:rFonts w:hint="eastAsia" w:ascii="宋体" w:hAnsi="宋体" w:eastAsia="宋体" w:cs="宋体"/>
          <w:b/>
          <w:color w:val="000000"/>
          <w:sz w:val="24"/>
          <w:szCs w:val="24"/>
          <w:highlight w:val="none"/>
        </w:rPr>
        <w:t xml:space="preserve">简体中文</w:t>
      </w:r>
      <w:r>
        <w:rPr>
          <w:rFonts w:hint="eastAsia" w:ascii="宋体" w:hAnsi="宋体" w:eastAsia="宋体" w:cs="宋体"/>
          <w:color w:val="000000"/>
          <w:sz w:val="24"/>
          <w:szCs w:val="24"/>
          <w:highlight w:val="none"/>
        </w:rPr>
        <w:t xml:space="preserve">。</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9.2除技术性能另有规定外，投标文件所使用的度量衡单位，均须采用国家法定计量单位。</w:t>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81" w:name="_Toc513029215"/>
      <w:r/>
      <w:bookmarkStart w:id="82" w:name="_Toc16938531"/>
      <w:r/>
      <w:bookmarkStart w:id="83" w:name="_Toc20823287"/>
      <w:r/>
      <w:bookmarkStart w:id="84" w:name="_Toc462564074"/>
      <w:r>
        <w:rPr>
          <w:rFonts w:hint="eastAsia" w:ascii="宋体" w:hAnsi="宋体" w:eastAsia="宋体" w:cs="宋体"/>
          <w:color w:val="000000"/>
          <w:sz w:val="24"/>
          <w:szCs w:val="24"/>
          <w:highlight w:val="none"/>
        </w:rPr>
        <w:t xml:space="preserve">10、投标文件构成</w:t>
      </w:r>
      <w:bookmarkEnd w:id="81"/>
      <w:r/>
      <w:bookmarkEnd w:id="82"/>
      <w:r/>
      <w:bookmarkEnd w:id="83"/>
      <w:r/>
      <w:bookmarkEnd w:id="84"/>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10.2如标书制作工具中格式和内容与</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“江苏政府采购网”“盐城市政府采购网”发布的招标文件不一致，请以</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lang w:val="en-US" w:eastAsia="zh-CN" w:bidi="ar-SA"/>
        </w:rPr>
        <w:t xml:space="preserve">中国政府采购网</w:t>
      </w: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w:t>
      </w:r>
      <w:r>
        <w:rPr>
          <w:rFonts w:hint="eastAsia" w:ascii="宋体" w:hAnsi="宋体" w:eastAsia="宋体" w:cs="宋体"/>
          <w:color w:val="000000"/>
          <w:sz w:val="24"/>
          <w:szCs w:val="24"/>
          <w:highlight w:val="none"/>
        </w:rPr>
        <w:t xml:space="preserve">“江苏政府采购网”“盐城市政府采购网”发布的招标文件为准。</w:t>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85" w:name="_Toc49090509"/>
      <w:r/>
      <w:bookmarkStart w:id="86" w:name="_Toc14577357"/>
      <w:r/>
      <w:bookmarkStart w:id="87" w:name="_Toc14577354"/>
      <w:r/>
      <w:bookmarkStart w:id="88" w:name="_Toc49090507"/>
      <w:r/>
      <w:bookmarkStart w:id="89" w:name="_Toc513029216"/>
      <w:r/>
      <w:bookmarkStart w:id="90" w:name="_Toc513029219"/>
      <w:r/>
      <w:bookmarkStart w:id="91" w:name="_Hlt26954838"/>
      <w:r/>
      <w:bookmarkStart w:id="92" w:name="_Hlt26668975"/>
      <w:r/>
      <w:bookmarkStart w:id="93" w:name="_Hlt26670360"/>
      <w:r>
        <w:rPr>
          <w:rFonts w:hint="eastAsia" w:ascii="宋体" w:hAnsi="宋体" w:eastAsia="宋体" w:cs="宋体"/>
          <w:color w:val="000000"/>
          <w:sz w:val="24"/>
          <w:szCs w:val="24"/>
          <w:highlight w:val="none"/>
        </w:rPr>
        <w:t xml:space="preserve">11、证明投标人及投标标的符合招标文件规定的文件</w:t>
      </w:r>
      <w:bookmarkEnd w:id="85"/>
      <w:r/>
      <w:bookmarkEnd w:id="86"/>
      <w:r/>
      <w:bookmarkEnd w:id="87"/>
      <w:r/>
      <w:bookmarkEnd w:id="88"/>
      <w:r/>
      <w:bookmarkEnd w:id="89"/>
      <w:r/>
      <w:bookmarkEnd w:id="90"/>
      <w:r/>
      <w:r/>
    </w:p>
    <w:p>
      <w:pPr>
        <w:pStyle w:val="645"/>
        <w:ind w:firstLine="480"/>
        <w:jc w:val="both"/>
        <w:spacing w:beforeAutospacing="0" w:afterAutospacing="0" w:line="0" w:lineRule="atLeast"/>
        <w:rPr>
          <w:rFonts w:hint="eastAsia" w:ascii="宋体" w:hAnsi="宋体" w:eastAsia="宋体" w:cs="宋体"/>
          <w:sz w:val="24"/>
          <w:szCs w:val="24"/>
          <w:highlight w:val="none"/>
        </w:rPr>
      </w:pPr>
      <w:r/>
      <w:bookmarkStart w:id="94" w:name="_Toc14577355"/>
      <w:r/>
      <w:bookmarkStart w:id="95" w:name="_Toc49090508"/>
      <w:r>
        <w:rPr>
          <w:rFonts w:hint="eastAsia" w:ascii="宋体" w:hAnsi="宋体" w:eastAsia="宋体" w:cs="宋体"/>
          <w:color w:val="000000"/>
          <w:sz w:val="24"/>
          <w:szCs w:val="24"/>
          <w:highlight w:val="none"/>
        </w:rPr>
        <w:t xml:space="preserve"> 11.1投标人应按照法律、法规、规章和规范性文件以及招标文件要求提交证明文件，证明其及投标标的符合招标文件规定。</w:t>
      </w:r>
      <w:bookmarkEnd w:id="94"/>
      <w:r/>
      <w:bookmarkEnd w:id="95"/>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11.2招标文件对证明文件无明确形式要求的，证明文件可以以文字资料、图纸和数据等形式提交。</w:t>
      </w:r>
      <w:r/>
    </w:p>
    <w:p>
      <w:pPr>
        <w:pStyle w:val="645"/>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12、投标分项报价</w:t>
      </w:r>
      <w:bookmarkStart w:id="96" w:name="_Hlt26670373"/>
      <w:r>
        <w:rPr>
          <w:rFonts w:hint="eastAsia" w:ascii="宋体" w:hAnsi="宋体" w:eastAsia="宋体" w:cs="宋体"/>
          <w:color w:val="000000"/>
          <w:sz w:val="24"/>
          <w:szCs w:val="24"/>
          <w:highlight w:val="none"/>
        </w:rPr>
        <w:t xml:space="preserve">表</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12.1投</w:t>
      </w:r>
      <w:bookmarkStart w:id="97" w:name="_Hlt26954840"/>
      <w:r>
        <w:rPr>
          <w:rFonts w:hint="eastAsia" w:ascii="宋体" w:hAnsi="宋体" w:eastAsia="宋体" w:cs="宋体"/>
          <w:color w:val="000000"/>
          <w:sz w:val="24"/>
          <w:szCs w:val="24"/>
          <w:highlight w:val="none"/>
        </w:rPr>
        <w:t xml:space="preserve">标人应按照招标文件规定格式填报投标分项报价表</w:t>
      </w:r>
      <w:bookmarkStart w:id="98" w:name="_Hlt26670399"/>
      <w:r>
        <w:rPr>
          <w:rFonts w:hint="eastAsia" w:ascii="宋体" w:hAnsi="宋体" w:eastAsia="宋体" w:cs="宋体"/>
          <w:color w:val="000000"/>
          <w:sz w:val="24"/>
          <w:szCs w:val="24"/>
          <w:highlight w:val="none"/>
        </w:rPr>
        <w:t xml:space="preserve">。</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12.2投标货币。投标文件中的单价和总价无特殊规定的采用人民币报价，以元为单位标注。招标文件中另有规定的按规定执行。</w:t>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99" w:name="_Hlt26954844"/>
      <w:r/>
      <w:bookmarkStart w:id="100" w:name="_Hlt26668983"/>
      <w:r/>
      <w:bookmarkStart w:id="101" w:name="_Hlt26670486"/>
      <w:r/>
      <w:bookmarkStart w:id="102" w:name="_Hlt26670403"/>
      <w:r/>
      <w:bookmarkStart w:id="103" w:name="_Hlt26954842"/>
      <w:r/>
      <w:bookmarkStart w:id="104" w:name="_Hlt26954846"/>
      <w:r/>
      <w:bookmarkStart w:id="105" w:name="_Hlt26670482"/>
      <w:r/>
      <w:bookmarkStart w:id="106" w:name="_Hlt26954848"/>
      <w:r/>
      <w:bookmarkStart w:id="107" w:name="_Hlt26670425"/>
      <w:r/>
      <w:bookmarkStart w:id="108" w:name="_Hlt26954731"/>
      <w:r>
        <w:rPr>
          <w:rFonts w:hint="eastAsia" w:ascii="宋体" w:hAnsi="宋体" w:eastAsia="宋体" w:cs="宋体"/>
          <w:color w:val="000000"/>
          <w:sz w:val="24"/>
          <w:szCs w:val="24"/>
          <w:highlight w:val="none"/>
        </w:rPr>
        <w:t xml:space="preserve">13、技术要求响应及偏离表、商务要求响应及偏离表</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13.1投标人需对招标文件中的技术要求与商务要求逐项作出响应或偏离，并说明原因。</w:t>
      </w:r>
      <w:r/>
    </w:p>
    <w:p>
      <w:pPr>
        <w:pStyle w:val="645"/>
        <w:ind w:firstLine="480"/>
        <w:jc w:val="both"/>
        <w:spacing w:beforeAutospacing="0" w:afterAutospacing="0" w:line="0" w:lineRule="atLeast"/>
        <w:tabs>
          <w:tab w:val="left" w:pos="1036" w:leader="none"/>
        </w:tabs>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13.2投标人可在投标文件中提供认为需要的其他技术文件或说明。</w:t>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109" w:name="_Toc14577359"/>
      <w:r/>
      <w:bookmarkStart w:id="110" w:name="_Toc49090510"/>
      <w:r>
        <w:rPr>
          <w:rFonts w:hint="eastAsia" w:ascii="宋体" w:hAnsi="宋体" w:eastAsia="宋体" w:cs="宋体"/>
          <w:color w:val="000000"/>
          <w:sz w:val="24"/>
          <w:szCs w:val="24"/>
          <w:highlight w:val="none"/>
        </w:rPr>
        <w:t xml:space="preserve">14、投标函和开标一览表</w:t>
      </w:r>
      <w:bookmarkEnd w:id="109"/>
      <w:r/>
      <w:bookmarkEnd w:id="110"/>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14.1投标人应按照招标文件中提供的格式完整、正确填写投标函、开标一览表。</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sz w:val="24"/>
          <w:szCs w:val="24"/>
          <w:highlight w:val="none"/>
        </w:rPr>
        <w:t xml:space="preserve">。</w:t>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111" w:name="_Toc49090511"/>
      <w:r/>
      <w:bookmarkStart w:id="112" w:name="_Toc14577360"/>
      <w:r/>
      <w:bookmarkStart w:id="113" w:name="_Hlt26954850"/>
      <w:r/>
      <w:bookmarkStart w:id="114" w:name="_Hlt26954734"/>
      <w:r/>
      <w:bookmarkStart w:id="115" w:name="_Hlt26670489"/>
      <w:r>
        <w:rPr>
          <w:rFonts w:hint="eastAsia" w:ascii="宋体" w:hAnsi="宋体" w:eastAsia="宋体" w:cs="宋体"/>
          <w:color w:val="000000"/>
          <w:sz w:val="24"/>
          <w:szCs w:val="24"/>
          <w:highlight w:val="none"/>
        </w:rPr>
        <w:t xml:space="preserve">15、投标有效期</w:t>
      </w:r>
      <w:bookmarkEnd w:id="111"/>
      <w:r/>
      <w:bookmarkEnd w:id="112"/>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15.1投标有效期为采购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规定的开标之日后</w:t>
      </w:r>
      <w:r>
        <w:rPr>
          <w:rFonts w:hint="eastAsia" w:ascii="宋体" w:hAnsi="宋体" w:eastAsia="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eastAsia="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color w:val="000000"/>
          <w:sz w:val="24"/>
          <w:szCs w:val="24"/>
          <w:highlight w:val="none"/>
        </w:rPr>
        <w:t xml:space="preserve">。投标有效期比规定短的将被视为未实质性响应招标文件而予以拒绝。</w:t>
      </w:r>
      <w:r/>
    </w:p>
    <w:p>
      <w:pPr>
        <w:pStyle w:val="645"/>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16、投标有效期的延长</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16.1在特殊情况下，采购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于原投标有效期满之前，可向投标人提出延长投标有效期的要求。这种要求与答复均应采用书面形式。投标人可以拒绝采购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64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16" w:name="_Toc20823296"/>
      <w:r/>
      <w:bookmarkStart w:id="117" w:name="_Toc16938540"/>
      <w:r/>
      <w:bookmarkStart w:id="118" w:name="_Toc120614217"/>
      <w:r/>
      <w:bookmarkStart w:id="119" w:name="_Toc513029224"/>
      <w:r/>
      <w:bookmarkStart w:id="120" w:name="_Hlt26954852"/>
      <w:r/>
      <w:bookmarkStart w:id="121" w:name="_Hlt26954739"/>
      <w:r>
        <w:rPr>
          <w:rFonts w:hint="eastAsia" w:ascii="宋体" w:hAnsi="宋体" w:eastAsia="宋体" w:cs="宋体"/>
          <w:b/>
          <w:color w:val="000000"/>
          <w:sz w:val="24"/>
          <w:szCs w:val="24"/>
          <w:highlight w:val="none"/>
        </w:rPr>
        <w:t xml:space="preserve">四、投标文件的递交</w:t>
      </w:r>
      <w:bookmarkEnd w:id="116"/>
      <w:r/>
      <w:bookmarkEnd w:id="117"/>
      <w:r/>
      <w:bookmarkEnd w:id="118"/>
      <w:r/>
      <w:bookmarkEnd w:id="119"/>
      <w:r/>
      <w:r/>
    </w:p>
    <w:p>
      <w:pPr>
        <w:pStyle w:val="645"/>
        <w:ind w:firstLine="560"/>
        <w:jc w:val="both"/>
        <w:keepLines/>
        <w:keepNext/>
        <w:spacing w:beforeAutospacing="0" w:afterAutospacing="0"/>
        <w:rPr>
          <w:rFonts w:hint="eastAsia" w:ascii="宋体" w:hAnsi="宋体" w:eastAsia="宋体" w:cs="宋体"/>
          <w:sz w:val="24"/>
          <w:szCs w:val="24"/>
          <w:highlight w:val="none"/>
        </w:rPr>
      </w:pPr>
      <w:r/>
      <w:bookmarkStart w:id="122" w:name="_Toc513029225"/>
      <w:r/>
      <w:bookmarkStart w:id="123" w:name="_Toc16938541"/>
      <w:r/>
      <w:bookmarkStart w:id="124" w:name="_Toc20823297"/>
      <w:r/>
      <w:bookmarkStart w:id="125" w:name="_Toc462564084"/>
      <w:r>
        <w:rPr>
          <w:rFonts w:hint="eastAsia" w:ascii="宋体" w:hAnsi="宋体" w:eastAsia="宋体" w:cs="宋体"/>
          <w:color w:val="000000"/>
          <w:sz w:val="24"/>
          <w:szCs w:val="24"/>
          <w:highlight w:val="none"/>
        </w:rPr>
        <w:t xml:space="preserve">17、投标文件</w:t>
      </w:r>
      <w:bookmarkEnd w:id="122"/>
      <w:r/>
      <w:bookmarkEnd w:id="123"/>
      <w:r/>
      <w:bookmarkEnd w:id="124"/>
      <w:r/>
      <w:bookmarkEnd w:id="125"/>
      <w:r>
        <w:rPr>
          <w:rFonts w:hint="eastAsia" w:ascii="宋体" w:hAnsi="宋体" w:eastAsia="宋体" w:cs="宋体"/>
          <w:color w:val="000000"/>
          <w:sz w:val="24"/>
          <w:szCs w:val="24"/>
          <w:highlight w:val="none"/>
        </w:rPr>
        <w:t xml:space="preserve">的递交</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17.1 电子投标文件的递交</w:t>
      </w:r>
      <w:r/>
    </w:p>
    <w:p>
      <w:pPr>
        <w:pStyle w:val="645"/>
        <w:ind w:left="525"/>
        <w:jc w:val="both"/>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投标人应当按照《操作手册》规定，在投标截止时间前制作并上传电子投标文件。</w:t>
      </w:r>
      <w:bookmarkStart w:id="126" w:name="_Toc20823298"/>
      <w:r/>
      <w:bookmarkEnd w:id="126"/>
      <w:r/>
      <w:bookmarkStart w:id="127" w:name="_Toc16938542"/>
      <w:r/>
      <w:bookmarkEnd w:id="127"/>
      <w:r/>
      <w:bookmarkStart w:id="128" w:name="_Toc513029226"/>
      <w:r/>
      <w:r/>
    </w:p>
    <w:p>
      <w:pPr>
        <w:pStyle w:val="645"/>
        <w:ind w:firstLine="420"/>
        <w:jc w:val="both"/>
        <w:keepLines/>
        <w:keepNext/>
        <w:spacing w:before="280" w:beforeAutospacing="0" w:after="290" w:afterAutospacing="0" w:line="374"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18、投标截止时间</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i/>
          <w:color w:val="000000"/>
          <w:sz w:val="24"/>
          <w:szCs w:val="24"/>
          <w:highlight w:val="none"/>
          <w:u w:val="single"/>
        </w:rPr>
        <w:t xml:space="preserve">18.1投标人上传电子投标文件的时间不得迟于招标公告中规定的投标截止时间。</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18.2采购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129" w:name="_Toc16938543"/>
      <w:r/>
      <w:bookmarkStart w:id="130" w:name="_Toc20823299"/>
      <w:r/>
      <w:bookmarkStart w:id="131" w:name="_Toc513029227"/>
      <w:r>
        <w:rPr>
          <w:rFonts w:hint="eastAsia" w:ascii="宋体" w:hAnsi="宋体" w:eastAsia="宋体" w:cs="宋体"/>
          <w:color w:val="000000"/>
          <w:sz w:val="24"/>
          <w:szCs w:val="24"/>
          <w:highlight w:val="none"/>
        </w:rPr>
        <w:t xml:space="preserve">19、投标文件</w:t>
      </w:r>
      <w:bookmarkEnd w:id="129"/>
      <w:r/>
      <w:bookmarkEnd w:id="130"/>
      <w:r/>
      <w:bookmarkEnd w:id="131"/>
      <w:r>
        <w:rPr>
          <w:rFonts w:hint="eastAsia" w:ascii="宋体" w:hAnsi="宋体" w:eastAsia="宋体" w:cs="宋体"/>
          <w:color w:val="000000"/>
          <w:sz w:val="24"/>
          <w:szCs w:val="24"/>
          <w:highlight w:val="none"/>
        </w:rPr>
        <w:t xml:space="preserve">的拒收</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19.1采购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拒绝接收在其规定的投标截止时间后上传的任何投标文件。</w:t>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132" w:name="_Toc16938544"/>
      <w:r/>
      <w:bookmarkStart w:id="133" w:name="_Toc20823300"/>
      <w:r/>
      <w:bookmarkStart w:id="134" w:name="_Toc513029228"/>
      <w:r>
        <w:rPr>
          <w:rFonts w:hint="eastAsia" w:ascii="宋体" w:hAnsi="宋体" w:eastAsia="宋体" w:cs="宋体"/>
          <w:color w:val="000000"/>
          <w:sz w:val="24"/>
          <w:szCs w:val="24"/>
          <w:highlight w:val="none"/>
        </w:rPr>
        <w:t xml:space="preserve">20、投标文件的撤回和修改</w:t>
      </w:r>
      <w:bookmarkEnd w:id="132"/>
      <w:r/>
      <w:bookmarkEnd w:id="133"/>
      <w:r/>
      <w:bookmarkEnd w:id="134"/>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20.1投标文件的撤回</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.1.1电子投标文件的撤回</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投标人可在投标截止时间前，撤回其电子投标文件，具体操作方法见《操作手册》。</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.1.2投标人撤回电子投标文件，则认为其不再参与本项目投标活动。</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 投标文件的修改</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20.2.1投标人可在投标截止时间前，对其电子投标文件进行修改，具体操作方法见《操作手册》。</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20.2.2在投标截止时间之后，投标人不得对其电子投标文件作任何修改。</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20.3在投标截止时间至招标文件中规定的投标有效期满之间的这段时间内，投标人不得撤回其投标。</w:t>
      </w:r>
      <w:r/>
    </w:p>
    <w:p>
      <w:pPr>
        <w:pStyle w:val="64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35" w:name="_Toc16938545"/>
      <w:r/>
      <w:bookmarkStart w:id="136" w:name="_Toc20823301"/>
      <w:r/>
      <w:bookmarkStart w:id="137" w:name="_Toc513029229"/>
      <w:r/>
      <w:bookmarkStart w:id="138" w:name="_Toc120614218"/>
      <w:r>
        <w:rPr>
          <w:rFonts w:hint="eastAsia" w:ascii="宋体" w:hAnsi="宋体" w:eastAsia="宋体" w:cs="宋体"/>
          <w:b/>
          <w:color w:val="000000"/>
          <w:sz w:val="24"/>
          <w:szCs w:val="24"/>
          <w:highlight w:val="none"/>
        </w:rPr>
        <w:t xml:space="preserve">五、开标与评标</w:t>
      </w:r>
      <w:bookmarkEnd w:id="135"/>
      <w:r/>
      <w:bookmarkEnd w:id="136"/>
      <w:r/>
      <w:bookmarkEnd w:id="137"/>
      <w:r/>
      <w:bookmarkEnd w:id="138"/>
      <w:r/>
      <w:r/>
    </w:p>
    <w:p>
      <w:pPr>
        <w:pStyle w:val="645"/>
        <w:ind w:firstLine="420"/>
        <w:jc w:val="both"/>
        <w:keepLines/>
        <w:keepNext/>
        <w:spacing w:beforeAutospacing="0" w:afterAutospacing="0"/>
        <w:rPr>
          <w:rFonts w:hint="eastAsia" w:ascii="宋体" w:hAnsi="宋体" w:eastAsia="宋体" w:cs="宋体"/>
          <w:color w:val="auto"/>
          <w:sz w:val="24"/>
          <w:szCs w:val="24"/>
          <w:highlight w:val="none"/>
        </w:rPr>
      </w:pPr>
      <w:r/>
      <w:bookmarkStart w:id="139" w:name="_Toc16938546"/>
      <w:r/>
      <w:bookmarkStart w:id="140" w:name="_Toc20823302"/>
      <w:r/>
      <w:bookmarkStart w:id="141" w:name="_Toc513029230"/>
      <w:r>
        <w:rPr>
          <w:rFonts w:hint="eastAsia" w:ascii="宋体" w:hAnsi="宋体" w:eastAsia="宋体" w:cs="宋体"/>
          <w:color w:val="auto"/>
          <w:sz w:val="24"/>
          <w:szCs w:val="24"/>
          <w:highlight w:val="none"/>
        </w:rPr>
        <w:t xml:space="preserve">21、开标</w:t>
      </w:r>
      <w:bookmarkEnd w:id="139"/>
      <w:r/>
      <w:bookmarkEnd w:id="140"/>
      <w:r/>
      <w:bookmarkEnd w:id="141"/>
      <w:r/>
      <w:r/>
    </w:p>
    <w:p>
      <w:pPr>
        <w:pStyle w:val="645"/>
        <w:ind w:firstLine="360"/>
        <w:jc w:val="both"/>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21.2开标仪式由</w:t>
      </w:r>
      <w:r>
        <w:rPr>
          <w:rFonts w:hint="eastAsia" w:ascii="宋体" w:hAnsi="宋体" w:eastAsia="宋体" w:cs="宋体"/>
          <w:color w:val="auto"/>
          <w:sz w:val="24"/>
          <w:szCs w:val="24"/>
          <w:highlight w:val="none"/>
          <w:lang w:val="en-US" w:eastAsia="zh-CN"/>
        </w:rPr>
        <w:t xml:space="preserve">采购人或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组织。苏采云系统将自动对项目进行开标，并宣布各投标人名称和投标价格。</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21.3投标人在开标过程中涉及到的投标文件解密、开标结果确认等工作，应按照《操作手册》规定执行。</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645"/>
        <w:ind w:firstLine="420"/>
        <w:jc w:val="both"/>
        <w:keepLines/>
        <w:keepNext/>
        <w:spacing w:beforeAutospacing="0" w:afterAutospacing="0"/>
        <w:rPr>
          <w:rFonts w:hint="eastAsia" w:ascii="宋体" w:hAnsi="宋体" w:eastAsia="宋体" w:cs="宋体"/>
          <w:color w:val="auto"/>
          <w:sz w:val="24"/>
          <w:szCs w:val="24"/>
          <w:highlight w:val="none"/>
        </w:rPr>
      </w:pPr>
      <w:r/>
      <w:bookmarkStart w:id="142" w:name="_Toc16938547"/>
      <w:r/>
      <w:bookmarkStart w:id="143" w:name="_Toc513029231"/>
      <w:r/>
      <w:bookmarkStart w:id="144" w:name="_Toc20823303"/>
      <w:r>
        <w:rPr>
          <w:rFonts w:hint="eastAsia" w:ascii="宋体" w:hAnsi="宋体" w:eastAsia="宋体" w:cs="宋体"/>
          <w:color w:val="auto"/>
          <w:sz w:val="24"/>
          <w:szCs w:val="24"/>
          <w:highlight w:val="none"/>
        </w:rPr>
        <w:t xml:space="preserve">22、评标委员会</w:t>
      </w:r>
      <w:bookmarkEnd w:id="142"/>
      <w:r/>
      <w:bookmarkEnd w:id="143"/>
      <w:r/>
      <w:bookmarkEnd w:id="144"/>
      <w:r/>
      <w:r/>
    </w:p>
    <w:p>
      <w:pPr>
        <w:pStyle w:val="64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22.1开标后，</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将立即组织评标委员会（以下简称评委会）进行评标。</w:t>
      </w:r>
      <w:r/>
    </w:p>
    <w:p>
      <w:pPr>
        <w:pStyle w:val="64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22.2评委会由采购人代表和有关技术、经济等方面的专家组成，且人员构成符合政府采购有关规定。</w:t>
      </w:r>
      <w:r/>
    </w:p>
    <w:p>
      <w:pPr>
        <w:pStyle w:val="64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22.3评委会独立工作，负责评审所有投标文件并确定中标</w:t>
      </w:r>
      <w:r>
        <w:rPr>
          <w:rFonts w:hint="eastAsia" w:ascii="宋体" w:hAnsi="宋体" w:eastAsia="宋体" w:cs="宋体"/>
          <w:color w:val="000000"/>
          <w:sz w:val="24"/>
          <w:szCs w:val="24"/>
          <w:highlight w:val="none"/>
          <w:lang w:eastAsia="zh-CN"/>
        </w:rPr>
        <w:t xml:space="preserve">候</w:t>
      </w:r>
      <w:r>
        <w:rPr>
          <w:rFonts w:hint="eastAsia" w:ascii="宋体" w:hAnsi="宋体" w:eastAsia="宋体" w:cs="宋体"/>
          <w:color w:val="000000"/>
          <w:sz w:val="24"/>
          <w:szCs w:val="24"/>
          <w:highlight w:val="none"/>
        </w:rPr>
        <w:t xml:space="preserve">选人。</w:t>
      </w:r>
      <w:r/>
    </w:p>
    <w:p>
      <w:pPr>
        <w:pStyle w:val="645"/>
        <w:ind w:firstLine="42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23、评标过程的保密与公正</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23.1凡是与审查、澄清、评价和比较投标的有关资料以及授标建议等，采购人、评委、采购</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highlight w:val="none"/>
        </w:rPr>
        <w:t xml:space="preserve">均不得向投标人或与评标无关的其他人员透露。</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23.2在评标过程中，投标人不得以任何行为影响评标过程，否则其投标文件将被作为无效投标文件。</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23.</w:t>
      </w:r>
      <w:r>
        <w:rPr>
          <w:rFonts w:hint="eastAsia" w:ascii="宋体" w:hAnsi="宋体" w:eastAsia="宋体" w:cs="宋体"/>
          <w:color w:val="auto"/>
          <w:sz w:val="24"/>
          <w:szCs w:val="24"/>
          <w:highlight w:val="none"/>
        </w:rPr>
        <w:t xml:space="preserve">3</w:t>
      </w:r>
      <w:r>
        <w:rPr>
          <w:rFonts w:hint="eastAsia" w:ascii="宋体" w:hAnsi="宋体" w:eastAsia="宋体" w:cs="宋体"/>
          <w:color w:val="000000"/>
          <w:sz w:val="24"/>
          <w:szCs w:val="24"/>
        </w:rPr>
        <w:t xml:space="preserve">采购人</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采购代理机构</w:t>
      </w:r>
      <w:r>
        <w:rPr>
          <w:rFonts w:hint="eastAsia" w:ascii="宋体" w:hAnsi="宋体" w:eastAsia="宋体" w:cs="宋体"/>
          <w:color w:val="auto"/>
          <w:sz w:val="24"/>
          <w:szCs w:val="24"/>
          <w:highlight w:val="none"/>
        </w:rPr>
        <w:t xml:space="preserve">和评标委员会不向未中标的投标人解释未中标原因，也不公布评标过程中的相关细节。</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23.4采用综合评分法的项目，未中标的</w:t>
      </w:r>
      <w:r>
        <w:rPr>
          <w:rFonts w:hint="eastAsia" w:ascii="宋体" w:hAnsi="宋体" w:eastAsia="宋体" w:cs="宋体"/>
          <w:color w:val="000000"/>
          <w:sz w:val="24"/>
          <w:szCs w:val="24"/>
          <w:highlight w:val="none"/>
        </w:rPr>
        <w:t xml:space="preserve">投标人可于中标结果公告期限届满之日起通过苏采云系统查看自己的评审得分及排序情况。</w:t>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145" w:name="_Toc20823304"/>
      <w:r/>
      <w:bookmarkStart w:id="146" w:name="_Toc16938548"/>
      <w:r/>
      <w:bookmarkStart w:id="147" w:name="_Toc513029232"/>
      <w:r>
        <w:rPr>
          <w:rFonts w:hint="eastAsia" w:ascii="宋体" w:hAnsi="宋体" w:eastAsia="宋体" w:cs="宋体"/>
          <w:color w:val="000000"/>
          <w:sz w:val="24"/>
          <w:szCs w:val="24"/>
          <w:highlight w:val="none"/>
        </w:rPr>
        <w:t xml:space="preserve">24、投标文件的澄清</w:t>
      </w:r>
      <w:bookmarkEnd w:id="145"/>
      <w:r/>
      <w:bookmarkEnd w:id="146"/>
      <w:r/>
      <w:bookmarkEnd w:id="147"/>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投标人的澄清、说明或者补正不得超出投标文件的范围或者改变投标文件的实质性内容。</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评标委员会并非对每个投标人都做澄清要求。</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sz w:val="24"/>
          <w:szCs w:val="24"/>
          <w:highlight w:val="none"/>
        </w:rPr>
        <w:t xml:space="preserve">投标文件的补充部分，具体操作方式见《操作手册》。</w:t>
      </w:r>
      <w:r/>
    </w:p>
    <w:p>
      <w:pPr>
        <w:pStyle w:val="645"/>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24.3接到评委会澄清、说明和补正要求的投标人如未按规定做出澄清、说明和补正，其风险由投标人自行承担。</w:t>
      </w:r>
      <w:r/>
    </w:p>
    <w:p>
      <w:pPr>
        <w:pStyle w:val="645"/>
        <w:ind w:firstLine="420"/>
        <w:jc w:val="both"/>
        <w:keepLines/>
        <w:keepNext/>
        <w:spacing w:beforeAutospacing="0" w:afterAutospacing="0"/>
        <w:rPr>
          <w:rFonts w:hint="eastAsia" w:ascii="宋体" w:hAnsi="宋体" w:eastAsia="宋体" w:cs="宋体"/>
          <w:sz w:val="24"/>
          <w:szCs w:val="24"/>
          <w:highlight w:val="none"/>
        </w:rPr>
      </w:pPr>
      <w:r/>
      <w:bookmarkStart w:id="148" w:name="_Toc513029233"/>
      <w:r/>
      <w:bookmarkStart w:id="149" w:name="_Toc20823305"/>
      <w:r/>
      <w:bookmarkStart w:id="150" w:name="_Toc16938549"/>
      <w:r>
        <w:rPr>
          <w:rFonts w:hint="eastAsia" w:ascii="宋体" w:hAnsi="宋体" w:eastAsia="宋体" w:cs="宋体"/>
          <w:color w:val="000000"/>
          <w:sz w:val="24"/>
          <w:szCs w:val="24"/>
          <w:highlight w:val="none"/>
        </w:rPr>
        <w:t xml:space="preserve">25、对投标文件的初审</w:t>
      </w:r>
      <w:bookmarkEnd w:id="148"/>
      <w:r/>
      <w:bookmarkEnd w:id="149"/>
      <w:r/>
      <w:bookmarkEnd w:id="150"/>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25.1投标文件初审分为资格审查和符合性审查。</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采购人在进行资格性审查的同时，将在“信用中国”网站（www.creditchina.gov.cn）查询投标人的信用记录，以确定投标人是否具备投标资格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联合体成员存在不良信用记录的，视同联合体存在不良应用记录。</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25.1.3未通过资格审查或符合性审查的投标人，</w:t>
      </w:r>
      <w:r>
        <w:rPr>
          <w:rFonts w:hint="eastAsia" w:ascii="宋体" w:hAnsi="宋体" w:eastAsia="宋体" w:cs="宋体"/>
          <w:color w:val="000000"/>
          <w:sz w:val="24"/>
          <w:szCs w:val="24"/>
        </w:rPr>
        <w:t xml:space="preserve">采购人或采购代理机构</w:t>
      </w:r>
      <w:r>
        <w:rPr>
          <w:rFonts w:hint="eastAsia" w:ascii="宋体" w:hAnsi="宋体" w:eastAsia="宋体" w:cs="宋体"/>
          <w:color w:val="auto"/>
          <w:sz w:val="24"/>
          <w:szCs w:val="24"/>
          <w:highlight w:val="none"/>
        </w:rPr>
        <w:t xml:space="preserve">将在苏采云系统中告知未通过资格审查或符合性审查的原因，评标结束后，</w:t>
      </w:r>
      <w:r>
        <w:rPr>
          <w:rFonts w:hint="eastAsia" w:ascii="宋体" w:hAnsi="宋体" w:eastAsia="宋体" w:cs="宋体"/>
          <w:color w:val="000000"/>
          <w:sz w:val="24"/>
          <w:szCs w:val="24"/>
        </w:rPr>
        <w:t xml:space="preserve">采购人或采购代理机构</w:t>
      </w:r>
      <w:r>
        <w:rPr>
          <w:rFonts w:hint="eastAsia" w:ascii="宋体" w:hAnsi="宋体" w:eastAsia="宋体" w:cs="宋体"/>
          <w:color w:val="auto"/>
          <w:sz w:val="24"/>
          <w:szCs w:val="24"/>
          <w:highlight w:val="none"/>
        </w:rPr>
        <w:t xml:space="preserve">将不再告知</w:t>
      </w:r>
      <w:r>
        <w:rPr>
          <w:rFonts w:hint="eastAsia" w:ascii="宋体" w:hAnsi="宋体" w:eastAsia="宋体" w:cs="宋体"/>
          <w:color w:val="000000"/>
          <w:sz w:val="24"/>
          <w:szCs w:val="24"/>
          <w:highlight w:val="none"/>
        </w:rPr>
        <w:t xml:space="preserve">未通过资格审查</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符合性审查的原因。</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sz w:val="24"/>
          <w:szCs w:val="24"/>
        </w:rPr>
        <w:t xml:space="preserve">采购代理机构</w:t>
      </w:r>
      <w:r>
        <w:rPr>
          <w:rFonts w:hint="eastAsia" w:ascii="宋体" w:hAnsi="宋体" w:eastAsia="宋体" w:cs="宋体"/>
          <w:color w:val="000000"/>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25.4评委会将对确定为实质性响应的投标进行进一步审核，确定其是否有计算上或累加上的算术错误，修正错误的原则如下：</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（1）投标文件中开标一览表内容与投标文件中相应内容不一致的，以开标一览表为准。</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（2）大写金额和小写金额不一致的，以大写金额为准。</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（3）单价金额小数点或者百分比有明显错位的，以开标一览表的总价为准，并修改单价。</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（4）总价金额与按单价汇总金额不一致的，以单价金额计算结果为准。</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同时出现两种以上错误的，按照前款规定的顺序修正。</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645"/>
        <w:ind w:firstLine="420"/>
        <w:jc w:val="both"/>
        <w:spacing w:beforeAutospacing="0" w:afterAutospacing="0" w:line="0" w:lineRule="atLeast"/>
        <w:rPr>
          <w:rFonts w:hint="eastAsia" w:ascii="宋体" w:hAnsi="宋体" w:eastAsia="宋体" w:cs="宋体"/>
          <w:color w:val="auto"/>
          <w:sz w:val="24"/>
          <w:szCs w:val="24"/>
          <w:highlight w:val="none"/>
        </w:rPr>
      </w:pPr>
      <w:r/>
      <w:bookmarkStart w:id="151" w:name="_Toc16938550"/>
      <w:r/>
      <w:bookmarkStart w:id="152" w:name="_Toc513029234"/>
      <w:r/>
      <w:bookmarkStart w:id="153" w:name="_Toc20823306"/>
      <w:r>
        <w:rPr>
          <w:rFonts w:hint="eastAsia" w:ascii="宋体" w:hAnsi="宋体" w:eastAsia="宋体" w:cs="宋体"/>
          <w:color w:val="auto"/>
          <w:sz w:val="24"/>
          <w:szCs w:val="24"/>
          <w:highlight w:val="none"/>
        </w:rPr>
        <w:t xml:space="preserve">25.6投标人在开、评标全过程中应保持通讯畅通，及时登录苏采云系统查阅、答复相关信息，并安排专人与</w:t>
      </w:r>
      <w:r>
        <w:rPr>
          <w:rFonts w:hint="eastAsia" w:ascii="宋体" w:hAnsi="宋体" w:eastAsia="宋体" w:cs="宋体"/>
          <w:color w:val="000000"/>
          <w:sz w:val="24"/>
          <w:szCs w:val="24"/>
        </w:rPr>
        <w:t xml:space="preserve">采购代理机构</w:t>
      </w:r>
      <w:r>
        <w:rPr>
          <w:rFonts w:hint="eastAsia" w:ascii="宋体" w:hAnsi="宋体" w:eastAsia="宋体" w:cs="宋体"/>
          <w:color w:val="auto"/>
          <w:sz w:val="24"/>
          <w:szCs w:val="24"/>
          <w:highlight w:val="none"/>
        </w:rPr>
        <w:t xml:space="preserve">及评标委员会联系。</w:t>
      </w:r>
      <w:bookmarkEnd w:id="151"/>
      <w:r/>
      <w:bookmarkEnd w:id="152"/>
      <w:r/>
      <w:bookmarkEnd w:id="153"/>
      <w:r/>
      <w:r/>
    </w:p>
    <w:p>
      <w:pPr>
        <w:pStyle w:val="645"/>
        <w:ind w:firstLine="420"/>
        <w:jc w:val="both"/>
        <w:keepLines/>
        <w:keepNext/>
        <w:spacing w:beforeAutospacing="0" w:afterAutospacing="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26、无效投标条款和废标条款</w:t>
      </w:r>
      <w:r/>
    </w:p>
    <w:p>
      <w:pPr>
        <w:pStyle w:val="645"/>
        <w:ind w:left="479"/>
        <w:jc w:val="both"/>
        <w:spacing w:beforeAutospacing="0" w:afterAutospacing="0" w:line="0" w:lineRule="atLeast"/>
        <w:rPr>
          <w:rFonts w:hint="eastAsia" w:ascii="宋体" w:hAnsi="宋体" w:eastAsia="宋体" w:cs="宋体"/>
          <w:color w:val="auto"/>
          <w:sz w:val="24"/>
          <w:szCs w:val="24"/>
          <w:highlight w:val="none"/>
        </w:rPr>
      </w:pPr>
      <w:r/>
      <w:bookmarkStart w:id="154" w:name="_Toc20823307"/>
      <w:r/>
      <w:bookmarkStart w:id="155" w:name="_Toc513029235"/>
      <w:r/>
      <w:bookmarkStart w:id="156" w:name="_Toc16938551"/>
      <w:r>
        <w:rPr>
          <w:rFonts w:hint="eastAsia" w:ascii="宋体" w:hAnsi="宋体" w:eastAsia="宋体" w:cs="宋体"/>
          <w:color w:val="auto"/>
          <w:sz w:val="24"/>
          <w:szCs w:val="24"/>
          <w:highlight w:val="none"/>
        </w:rPr>
        <w:t xml:space="preserve">26.1无效投标条款</w:t>
      </w:r>
      <w:bookmarkEnd w:id="154"/>
      <w:r/>
      <w:bookmarkEnd w:id="155"/>
      <w:r/>
      <w:bookmarkEnd w:id="156"/>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26.1.1投标人在苏采云系统规定的时间内未成功解密电子投标文件的。</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26.1.2投标人未按照招标文件要求上传电子投标文件的。</w:t>
      </w:r>
      <w:r/>
    </w:p>
    <w:p>
      <w:pPr>
        <w:pStyle w:val="64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26.1.3同一投标人提交两个（含两个）以上不同的投标报价的。</w:t>
      </w:r>
      <w:r/>
    </w:p>
    <w:p>
      <w:pPr>
        <w:pStyle w:val="64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26.1.4投标人不具备招标文件中规定资格要求的。</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26.1.5投标人的报价超过了采购预算或最高限价的。</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26.1.6未通过符合性审查的。</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26.1.7不符合招标文件中规定的实质性要求和条件的（</w:t>
      </w:r>
      <w:r>
        <w:rPr>
          <w:rFonts w:hint="eastAsia" w:ascii="宋体" w:hAnsi="宋体" w:eastAsia="宋体" w:cs="宋体"/>
          <w:i/>
          <w:color w:val="000000"/>
          <w:sz w:val="24"/>
          <w:szCs w:val="24"/>
          <w:highlight w:val="none"/>
          <w:u w:val="single"/>
        </w:rPr>
        <w:t xml:space="preserve">本招标文件中斜体且有下划线部分为实质性要求和条件）。</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26.1.9投标文件含有采购人不能接受的附加条件的。</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26.1.10</w:t>
      </w:r>
      <w:r>
        <w:rPr>
          <w:rFonts w:hint="eastAsia" w:ascii="宋体" w:hAnsi="宋体" w:eastAsia="宋体" w:cs="宋体"/>
          <w:color w:val="auto"/>
          <w:sz w:val="24"/>
          <w:szCs w:val="24"/>
          <w:highlight w:val="none"/>
        </w:rPr>
        <w:t xml:space="preserve">投标人不能证明其报价合理性的，评</w:t>
      </w:r>
      <w:r>
        <w:rPr>
          <w:rFonts w:hint="eastAsia" w:ascii="宋体" w:hAnsi="宋体" w:eastAsia="宋体" w:cs="宋体"/>
          <w:color w:val="auto"/>
          <w:sz w:val="24"/>
          <w:szCs w:val="24"/>
          <w:highlight w:val="none"/>
          <w:lang w:val="en-US" w:eastAsia="zh-CN"/>
        </w:rPr>
        <w:t xml:space="preserve">标</w:t>
      </w:r>
      <w:r>
        <w:rPr>
          <w:rFonts w:hint="eastAsia" w:ascii="宋体" w:hAnsi="宋体" w:eastAsia="宋体" w:cs="宋体"/>
          <w:color w:val="auto"/>
          <w:sz w:val="24"/>
          <w:szCs w:val="24"/>
          <w:highlight w:val="none"/>
        </w:rPr>
        <w:t xml:space="preserve">委员会应当将其作为无效投标处理。</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（一）评审过程中出现下列情形之一的，评标委员会应当启动异常低价投标审查程序：</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1.投标报价低于采购项目预算50% 的，即投标报价&lt;采购项目预算×50%；</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2.投标报价低于采购项目最高限价45% 的，即投标报价&lt;采购项目最高限价×45%；</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3.评标委员会认定的供应商报价过低、有可能影响产品质量或者不能诚信履约的其他情形。</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lang w:val="en-US" w:eastAsia="zh-CN" w:bidi="ar-SA"/>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26.1.11投标文件未按照招标文件要求加盖CA电子公章的。</w:t>
      </w:r>
      <w:r/>
    </w:p>
    <w:p>
      <w:pPr>
        <w:pStyle w:val="645"/>
        <w:ind w:firstLine="48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26.1.12其他法律、法规及本招标文件规定的属无效投标的情形。</w:t>
      </w:r>
      <w:r/>
    </w:p>
    <w:p>
      <w:pPr>
        <w:pStyle w:val="64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26.2废标条款</w:t>
      </w:r>
      <w:r/>
    </w:p>
    <w:p>
      <w:pPr>
        <w:pStyle w:val="64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26.2.1符合专业条件的供应商或者对招标文件作实质响应的供应商不足三家的。</w:t>
      </w:r>
      <w:r/>
    </w:p>
    <w:p>
      <w:pPr>
        <w:pStyle w:val="64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26.2.2出现影响采购公正的违法、违规行为的。</w:t>
      </w:r>
      <w:r/>
    </w:p>
    <w:p>
      <w:pPr>
        <w:pStyle w:val="64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26.2.3因重大变故，采购任务取消的。</w:t>
      </w:r>
      <w:r/>
    </w:p>
    <w:p>
      <w:pPr>
        <w:pStyle w:val="64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26.2.4评标委员会认定招标文件存在歧义、重大缺陷导致评审工作无法进行。</w:t>
      </w:r>
      <w:r/>
    </w:p>
    <w:p>
      <w:pPr>
        <w:pStyle w:val="64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26.2.5因苏采云系统系统故障原因造成开标不成功的。</w:t>
      </w:r>
      <w:r/>
    </w:p>
    <w:p>
      <w:pPr>
        <w:pStyle w:val="645"/>
        <w:ind w:left="479"/>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26.3 投标截止时间结束后参加投标的供应商不足三家的处理：</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645"/>
        <w:ind w:firstLine="482"/>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57" w:name="_Toc120614219"/>
      <w:r>
        <w:rPr>
          <w:rFonts w:hint="eastAsia" w:ascii="宋体" w:hAnsi="宋体" w:eastAsia="宋体" w:cs="宋体"/>
          <w:b/>
          <w:color w:val="000000"/>
          <w:sz w:val="24"/>
          <w:szCs w:val="24"/>
          <w:highlight w:val="none"/>
        </w:rPr>
        <w:t xml:space="preserve">六、定标</w:t>
      </w:r>
      <w:bookmarkEnd w:id="157"/>
      <w:r/>
      <w:r/>
    </w:p>
    <w:p>
      <w:pPr>
        <w:pStyle w:val="645"/>
        <w:ind w:firstLine="600"/>
        <w:jc w:val="both"/>
        <w:keepLines/>
        <w:keepNext/>
        <w:spacing w:beforeAutospacing="0" w:afterAutospacing="0"/>
        <w:rPr>
          <w:rFonts w:hint="eastAsia" w:ascii="宋体" w:hAnsi="宋体" w:eastAsia="宋体" w:cs="宋体"/>
          <w:sz w:val="24"/>
          <w:szCs w:val="24"/>
          <w:highlight w:val="none"/>
        </w:rPr>
      </w:pPr>
      <w:r/>
      <w:bookmarkStart w:id="158" w:name="_Toc20823310"/>
      <w:r/>
      <w:bookmarkStart w:id="159" w:name="_Toc16938554"/>
      <w:r/>
      <w:bookmarkStart w:id="160" w:name="_Toc513029238"/>
      <w:r>
        <w:rPr>
          <w:rFonts w:hint="eastAsia" w:ascii="宋体" w:hAnsi="宋体" w:eastAsia="宋体" w:cs="宋体"/>
          <w:color w:val="000000"/>
          <w:sz w:val="24"/>
          <w:szCs w:val="24"/>
          <w:highlight w:val="none"/>
        </w:rPr>
        <w:t xml:space="preserve">27、</w:t>
      </w:r>
      <w:bookmarkEnd w:id="158"/>
      <w:r>
        <w:rPr>
          <w:rFonts w:hint="eastAsia" w:ascii="宋体" w:hAnsi="宋体" w:eastAsia="宋体" w:cs="宋体"/>
          <w:color w:val="000000"/>
          <w:sz w:val="24"/>
          <w:szCs w:val="24"/>
          <w:highlight w:val="none"/>
        </w:rPr>
        <w:t xml:space="preserve">确定</w:t>
      </w:r>
      <w:bookmarkEnd w:id="159"/>
      <w:r/>
      <w:bookmarkEnd w:id="160"/>
      <w:r>
        <w:rPr>
          <w:rFonts w:hint="eastAsia" w:ascii="宋体" w:hAnsi="宋体" w:eastAsia="宋体" w:cs="宋体"/>
          <w:color w:val="000000"/>
          <w:sz w:val="24"/>
          <w:szCs w:val="24"/>
          <w:highlight w:val="none"/>
        </w:rPr>
        <w:t xml:space="preserve">中标单位</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27.1中标候选人的选取原则和数量见招标文件第五章规定。 </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27.2采购人应根据评委会推荐的中标候选人确定中标人。</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27.3</w:t>
      </w:r>
      <w:r>
        <w:rPr>
          <w:rFonts w:hint="eastAsia" w:ascii="宋体" w:hAnsi="宋体" w:eastAsia="宋体" w:cs="宋体"/>
          <w:color w:val="000000"/>
          <w:sz w:val="24"/>
          <w:szCs w:val="24"/>
        </w:rPr>
        <w:t xml:space="preserve">采购代理机构</w:t>
      </w:r>
      <w:r>
        <w:rPr>
          <w:rFonts w:hint="eastAsia" w:ascii="宋体" w:hAnsi="宋体" w:eastAsia="宋体" w:cs="宋体"/>
          <w:color w:val="000000"/>
          <w:sz w:val="24"/>
          <w:szCs w:val="24"/>
          <w:highlight w:val="none"/>
        </w:rPr>
        <w:t xml:space="preserve">将在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中国政府采购网”</w:t>
      </w:r>
      <w:r>
        <w:rPr>
          <w:rFonts w:hint="eastAsia" w:ascii="宋体" w:hAnsi="宋体" w:eastAsia="宋体" w:cs="宋体"/>
          <w:color w:val="000000"/>
          <w:sz w:val="24"/>
          <w:szCs w:val="24"/>
          <w:highlight w:val="none"/>
        </w:rPr>
        <w:t xml:space="preserve">“江苏政府采购网”“盐城市政府采购网”发布中标公告，公告期限为1个工作日。</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27.4若有充分证据证明，中标人出现下列情况之一的，一经查实，将被取消中标资格：</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27.4.1提供虚假材料谋取中标的。</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27.4.2向采购人、</w:t>
      </w:r>
      <w:r>
        <w:rPr>
          <w:rFonts w:hint="eastAsia" w:ascii="宋体" w:hAnsi="宋体" w:eastAsia="宋体" w:cs="宋体"/>
          <w:color w:val="000000"/>
          <w:sz w:val="24"/>
          <w:szCs w:val="24"/>
        </w:rPr>
        <w:t xml:space="preserve">采购代理机构</w:t>
      </w:r>
      <w:r>
        <w:rPr>
          <w:rFonts w:hint="eastAsia" w:ascii="宋体" w:hAnsi="宋体" w:eastAsia="宋体" w:cs="宋体"/>
          <w:color w:val="000000"/>
          <w:sz w:val="24"/>
          <w:szCs w:val="24"/>
          <w:highlight w:val="none"/>
        </w:rPr>
        <w:t xml:space="preserve">行贿或者提供其他不正当利益的。</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27.4.3属于本文件规定的无效条件，但在评标过程中又未被评委会发现的。</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27.4.4与采购人或者其他供应商恶意串通的。</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27.4.5采取不正当手段诋毁、排挤其他供应商的。</w:t>
      </w:r>
      <w:r/>
    </w:p>
    <w:p>
      <w:pPr>
        <w:pStyle w:val="645"/>
        <w:ind w:firstLine="480"/>
        <w:jc w:val="both"/>
        <w:spacing w:beforeAutospacing="0" w:afterAutospacing="0" w:line="0" w:lineRule="atLeast"/>
        <w:rPr>
          <w:rFonts w:hint="eastAsia" w:ascii="宋体" w:hAnsi="宋体" w:eastAsia="宋体" w:cs="宋体"/>
          <w:sz w:val="24"/>
          <w:szCs w:val="24"/>
          <w:highlight w:val="none"/>
        </w:rPr>
      </w:pPr>
      <w:r/>
      <w:bookmarkStart w:id="161" w:name="_Toc200451960"/>
      <w:r>
        <w:rPr>
          <w:rFonts w:hint="eastAsia" w:ascii="宋体" w:hAnsi="宋体" w:eastAsia="宋体" w:cs="宋体"/>
          <w:color w:val="000000"/>
          <w:sz w:val="24"/>
          <w:szCs w:val="24"/>
          <w:highlight w:val="none"/>
        </w:rPr>
        <w:t xml:space="preserve">27.5 有下列情形之一的，视为投标人串通投标，投标无效：</w:t>
      </w:r>
      <w:bookmarkEnd w:id="161"/>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27.5.1不同投标人的投标文件由同一单位或者个人编制。</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27.5.2不同投标人委托同一单位或者个人办理投标事宜。</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27.5.3不同投标人的投标文件载明的项目管理成员或者联系人员为同一人。</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27.5.4不同投标人的投标文件异常一致或者投标报价呈规律性差异。</w:t>
      </w:r>
      <w:r/>
    </w:p>
    <w:p>
      <w:pPr>
        <w:pStyle w:val="645"/>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28、质疑处理</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28.1提出质疑的供应商应当是参与所质疑项目采购活动的供应商。潜在供应商依法获取其可质疑的采购文件的，可以对采购文件提出质疑。</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sz w:val="24"/>
          <w:szCs w:val="24"/>
        </w:rPr>
        <w:t xml:space="preserve">采购代理机构</w:t>
      </w:r>
      <w:r>
        <w:rPr>
          <w:rFonts w:hint="eastAsia" w:ascii="宋体" w:hAnsi="宋体" w:eastAsia="宋体" w:cs="宋体"/>
          <w:color w:val="000000"/>
          <w:sz w:val="24"/>
          <w:szCs w:val="24"/>
          <w:highlight w:val="none"/>
        </w:rPr>
        <w:t xml:space="preserve">或采购人提出质疑。上述应知其权益受到损害之日，是指：</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28.2.1对可以质疑的采购文件提出质疑的，为收到采购文件之日或者采购文件公告期限届满之日；</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28.2.2对采购过程提出质疑的，为各采购程序环节结束之日；</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28.2.3对中标或者成交结果提出质疑的，为中标或者成交结果公告期限届满之日。</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rPr>
        <w:t xml:space="preserve">采购代理机构</w:t>
      </w:r>
      <w:r>
        <w:rPr>
          <w:rFonts w:hint="eastAsia" w:ascii="宋体" w:hAnsi="宋体" w:eastAsia="宋体" w:cs="宋体"/>
          <w:color w:val="000000"/>
          <w:sz w:val="24"/>
          <w:szCs w:val="24"/>
          <w:highlight w:val="none"/>
        </w:rPr>
        <w:t xml:space="preserve">、采购人将只对供应商第一次质疑作出答复。</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645"/>
        <w:ind w:firstLine="482"/>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28.4</w:t>
      </w:r>
      <w:r>
        <w:rPr>
          <w:rFonts w:hint="eastAsia" w:ascii="宋体" w:hAnsi="宋体" w:eastAsia="宋体" w:cs="宋体"/>
          <w:color w:val="000000" w:themeColor="text1"/>
          <w:sz w:val="24"/>
          <w:szCs w:val="24"/>
          <w:highlight w:val="none"/>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sz w:val="24"/>
          <w:szCs w:val="24"/>
          <w:highlight w:val="none"/>
        </w:rPr>
        <w:t xml:space="preserve">供应商对除上述事项以外其他事项的询问、质疑请向</w:t>
      </w:r>
      <w:r>
        <w:rPr>
          <w:rFonts w:hint="eastAsia" w:ascii="宋体" w:hAnsi="宋体" w:eastAsia="宋体" w:cs="宋体"/>
          <w:color w:val="000000"/>
          <w:sz w:val="24"/>
          <w:szCs w:val="24"/>
        </w:rPr>
        <w:t xml:space="preserve">采购代理机构</w:t>
      </w:r>
      <w:r>
        <w:rPr>
          <w:rFonts w:hint="eastAsia" w:ascii="宋体" w:hAnsi="宋体" w:eastAsia="宋体" w:cs="宋体"/>
          <w:color w:val="000000"/>
          <w:sz w:val="24"/>
          <w:szCs w:val="24"/>
          <w:highlight w:val="none"/>
        </w:rPr>
        <w:t xml:space="preserve">提出，由</w:t>
      </w:r>
      <w:r>
        <w:rPr>
          <w:rFonts w:hint="eastAsia" w:ascii="宋体" w:hAnsi="宋体" w:eastAsia="宋体" w:cs="宋体"/>
          <w:color w:val="000000"/>
          <w:sz w:val="24"/>
          <w:szCs w:val="24"/>
        </w:rPr>
        <w:t xml:space="preserve">采购代理机构</w:t>
      </w:r>
      <w:r>
        <w:rPr>
          <w:rFonts w:hint="eastAsia" w:ascii="宋体" w:hAnsi="宋体" w:eastAsia="宋体" w:cs="宋体"/>
          <w:color w:val="000000"/>
          <w:sz w:val="24"/>
          <w:szCs w:val="24"/>
          <w:highlight w:val="none"/>
        </w:rPr>
        <w:t xml:space="preserve">负责答复。</w:t>
      </w:r>
      <w:r/>
    </w:p>
    <w:p>
      <w:pPr>
        <w:ind w:firstLine="480"/>
        <w:jc w:val="left"/>
        <w:tabs>
          <w:tab w:val="left" w:pos="133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rPr>
        <w:t xml:space="preserve">采购代理机构</w:t>
      </w:r>
      <w:r>
        <w:rPr>
          <w:rFonts w:hint="eastAsia" w:ascii="宋体" w:hAnsi="宋体" w:eastAsia="宋体" w:cs="宋体"/>
          <w:color w:val="000000"/>
          <w:sz w:val="24"/>
          <w:szCs w:val="24"/>
          <w:highlight w:val="none"/>
          <w:lang w:val="en-US" w:eastAsia="zh-CN" w:bidi="ar-SA"/>
        </w:rPr>
        <w:t xml:space="preserve">及采购人只接收以纸质原件形式送达的质疑，采购人和</w:t>
      </w:r>
      <w:r>
        <w:rPr>
          <w:rFonts w:hint="eastAsia" w:ascii="宋体" w:hAnsi="宋体" w:eastAsia="宋体" w:cs="宋体"/>
          <w:color w:val="000000"/>
          <w:sz w:val="24"/>
          <w:szCs w:val="24"/>
        </w:rPr>
        <w:t xml:space="preserve">采购代理机构</w:t>
      </w:r>
      <w:r>
        <w:rPr>
          <w:rFonts w:hint="eastAsia" w:ascii="宋体" w:hAnsi="宋体" w:eastAsia="宋体" w:cs="宋体"/>
          <w:color w:val="000000"/>
          <w:sz w:val="24"/>
          <w:szCs w:val="24"/>
          <w:highlight w:val="none"/>
          <w:lang w:val="en-US" w:eastAsia="zh-CN" w:bidi="ar-SA"/>
        </w:rPr>
        <w:t xml:space="preserve">不接受未填写快递运单的快件。</w:t>
      </w:r>
      <w:r>
        <w:rPr>
          <w:rFonts w:hint="eastAsia" w:ascii="宋体" w:hAnsi="宋体" w:eastAsia="宋体" w:cs="宋体"/>
          <w:color w:val="000000"/>
          <w:sz w:val="24"/>
          <w:szCs w:val="24"/>
          <w:highlight w:val="none"/>
          <w:lang w:val="en-US" w:eastAsia="zh-CN" w:bidi="ar-SA"/>
        </w:rPr>
        <w:t xml:space="preserve">质疑接收联</w:t>
      </w:r>
      <w:r>
        <w:rPr>
          <w:rFonts w:hint="eastAsia" w:ascii="宋体" w:hAnsi="宋体" w:eastAsia="宋体" w:cs="宋体"/>
          <w:color w:val="000000"/>
          <w:sz w:val="24"/>
          <w:szCs w:val="24"/>
          <w:lang w:val="en-US" w:eastAsia="zh-CN" w:bidi="ar-SA"/>
        </w:rPr>
        <w:t xml:space="preserve">系地址及联系电话同本项目招标公告。</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 以下情形的质疑不予受理</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28.5.1内容不符合《政府采购质疑和投诉办法》第十二条规定的质疑。</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28.5.2超出政府采购法定期限的质疑。</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28.5.3以传真、电子邮件等方式递交的非原件形式的质疑。</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28.5.4未参加投标活动的供应商或在投标活动中自身权益未受到损害的供应商所提出的质疑。</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28.5.5供应商组成联合体参加投标，联合体中任何一方或多方未按要求签字、盖章、加盖公章的质疑。</w:t>
      </w:r>
      <w:r/>
    </w:p>
    <w:p>
      <w:pPr>
        <w:pStyle w:val="645"/>
        <w:ind w:firstLine="468"/>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28.6供应商提出书面质疑必须有理、有据，不得捏造事实、提供虚假材料进行恶意质疑。否则，一经查实，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p>
    <w:p>
      <w:pPr>
        <w:pStyle w:val="645"/>
        <w:ind w:firstLine="600"/>
        <w:jc w:val="both"/>
        <w:keepLines/>
        <w:keepNext/>
        <w:spacing w:beforeAutospacing="0" w:afterAutospacing="0"/>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29、中标通知书</w:t>
      </w:r>
      <w:r>
        <w:rPr>
          <w:rFonts w:hint="eastAsia" w:ascii="宋体" w:hAnsi="宋体" w:eastAsia="宋体" w:cs="宋体"/>
          <w:color w:val="000000"/>
          <w:sz w:val="24"/>
          <w:szCs w:val="24"/>
          <w:highlight w:val="none"/>
          <w:lang w:val="en-US" w:eastAsia="zh-CN"/>
        </w:rPr>
        <w:t xml:space="preserve">及政府采购代理服务费</w:t>
      </w:r>
      <w:r/>
    </w:p>
    <w:p>
      <w:pPr>
        <w:pStyle w:val="645"/>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000000"/>
          <w:sz w:val="24"/>
          <w:szCs w:val="24"/>
          <w:highlight w:val="none"/>
        </w:rPr>
        <w:t xml:space="preserve">29.l中标结果确定后，</w:t>
      </w:r>
      <w:r>
        <w:rPr>
          <w:rFonts w:hint="eastAsia" w:ascii="宋体" w:hAnsi="宋体" w:eastAsia="宋体" w:cs="宋体"/>
          <w:color w:val="000000"/>
          <w:sz w:val="24"/>
          <w:szCs w:val="24"/>
        </w:rPr>
        <w:t xml:space="preserve">采购</w:t>
      </w:r>
      <w:r>
        <w:rPr>
          <w:rFonts w:hint="eastAsia" w:ascii="宋体" w:hAnsi="宋体" w:eastAsia="宋体" w:cs="宋体"/>
          <w:color w:val="000000"/>
          <w:sz w:val="24"/>
          <w:szCs w:val="24"/>
          <w:lang w:val="en-US" w:eastAsia="zh-CN"/>
        </w:rPr>
        <w:t xml:space="preserve">代理机构</w:t>
      </w:r>
      <w:r>
        <w:rPr>
          <w:rFonts w:hint="eastAsia" w:ascii="宋体" w:hAnsi="宋体" w:eastAsia="宋体" w:cs="宋体"/>
          <w:color w:val="000000"/>
          <w:sz w:val="24"/>
          <w:szCs w:val="24"/>
          <w:highlight w:val="none"/>
        </w:rPr>
        <w:t xml:space="preserve">将向中标人发</w:t>
      </w:r>
      <w:r>
        <w:rPr>
          <w:rFonts w:hint="eastAsia" w:ascii="宋体" w:hAnsi="宋体" w:eastAsia="宋体" w:cs="宋体"/>
          <w:color w:val="auto"/>
          <w:sz w:val="24"/>
          <w:szCs w:val="24"/>
          <w:highlight w:val="none"/>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645"/>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auto"/>
          <w:sz w:val="24"/>
          <w:szCs w:val="24"/>
          <w:highlight w:val="none"/>
        </w:rPr>
        <w:t xml:space="preserve">29.2中标通知书将是合同的一个组成部分。对采购人和中标人均具有法律</w:t>
      </w:r>
      <w:r>
        <w:rPr>
          <w:rFonts w:hint="eastAsia" w:ascii="宋体" w:hAnsi="宋体" w:eastAsia="宋体" w:cs="宋体"/>
          <w:color w:val="000000"/>
          <w:sz w:val="24"/>
          <w:szCs w:val="24"/>
          <w:highlight w:val="none"/>
        </w:rPr>
        <w:t xml:space="preserve">效力。中标通知书发出后，采购人改变中标结果的，或者中标人放弃中标项目的，应当依法承担法律责任。</w:t>
      </w:r>
      <w:r/>
    </w:p>
    <w:p>
      <w:pPr>
        <w:pStyle w:val="645"/>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29.3</w:t>
      </w:r>
      <w:r>
        <w:rPr>
          <w:rFonts w:hint="eastAsia" w:ascii="宋体" w:hAnsi="宋体" w:eastAsia="宋体" w:cs="宋体"/>
          <w:color w:val="auto"/>
          <w:sz w:val="24"/>
          <w:szCs w:val="24"/>
          <w:highlight w:val="none"/>
        </w:rPr>
        <w:t xml:space="preserve">政府采购代理服务费（招标代理服务费）有关约定如下：</w:t>
      </w:r>
      <w:r/>
    </w:p>
    <w:p>
      <w:pPr>
        <w:pStyle w:val="645"/>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29.3.1</w:t>
      </w:r>
      <w:r>
        <w:rPr>
          <w:rFonts w:hint="eastAsia" w:ascii="宋体" w:hAnsi="宋体" w:eastAsia="宋体" w:cs="宋体"/>
          <w:color w:val="auto"/>
          <w:sz w:val="24"/>
          <w:szCs w:val="24"/>
          <w:highlight w:val="none"/>
        </w:rPr>
        <w:t xml:space="preserve">本招标文件约定：政府采购代理服务费（招标代理服务费）由中标供应商（中标人）代付。中标单位须在领取中标通知书按本文的规定支付政府采购代理服务费及相关费用。中标单位如果未按规定缴纳政府采购代理服务费，将上报主管部门，并保留对其诉讼的权利。</w:t>
      </w:r>
      <w:r/>
    </w:p>
    <w:p>
      <w:pPr>
        <w:pStyle w:val="645"/>
        <w:ind w:firstLine="600"/>
        <w:jc w:val="both"/>
        <w:spacing w:beforeAutospacing="0" w:afterAutospacing="0" w:line="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29.3.</w:t>
      </w:r>
      <w:r>
        <w:rPr>
          <w:rFonts w:hint="eastAsia" w:ascii="宋体" w:hAnsi="宋体" w:eastAsia="宋体" w:cs="宋体"/>
          <w:color w:val="auto"/>
          <w:sz w:val="24"/>
          <w:szCs w:val="24"/>
          <w:highlight w:val="none"/>
        </w:rPr>
        <w:t xml:space="preserve">2政府采购代理服务费（招标代理服务费）支付时间：中标人（中标供应商）须在领取中标通知书前一次性支付，投标供应商须综合考虑此部分费用并纳入投标总报价（不得单列），采购人不另行支付。</w:t>
      </w:r>
      <w:r/>
    </w:p>
    <w:p>
      <w:pPr>
        <w:pStyle w:val="645"/>
        <w:ind w:firstLine="600"/>
        <w:jc w:val="both"/>
        <w:spacing w:beforeAutospacing="0" w:afterAutospacing="0" w:line="0" w:lineRule="atLeast"/>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lang w:val="en-US" w:eastAsia="zh-CN"/>
        </w:rPr>
        <w:t xml:space="preserve">29.3.</w:t>
      </w:r>
      <w:r>
        <w:rPr>
          <w:rFonts w:hint="eastAsia" w:ascii="宋体" w:hAnsi="宋体" w:eastAsia="宋体" w:cs="宋体"/>
          <w:b/>
          <w:bCs/>
          <w:color w:val="auto"/>
          <w:sz w:val="24"/>
          <w:szCs w:val="24"/>
          <w:highlight w:val="none"/>
        </w:rPr>
        <w:t xml:space="preserve">3政府采购代理服务费收费标准（或金额）：依据《江苏省政府采购代理服务收费指导意见》苏政采协[2024]20号打折后</w:t>
      </w:r>
      <w:r>
        <w:rPr>
          <w:rFonts w:hint="eastAsia" w:ascii="宋体" w:hAnsi="宋体" w:eastAsia="宋体" w:cs="宋体"/>
          <w:b/>
          <w:bCs/>
          <w:color w:val="auto"/>
          <w:sz w:val="24"/>
          <w:szCs w:val="24"/>
          <w:highlight w:val="none"/>
          <w:u w:val="none"/>
        </w:rPr>
        <w:t xml:space="preserve">按</w:t>
      </w:r>
      <w:r>
        <w:rPr>
          <w:rFonts w:hint="eastAsia" w:ascii="宋体" w:hAnsi="宋体" w:eastAsia="宋体" w:cs="宋体"/>
          <w:b/>
          <w:bCs/>
          <w:color w:val="auto"/>
          <w:sz w:val="24"/>
          <w:szCs w:val="24"/>
          <w:highlight w:val="none"/>
          <w:u w:val="single"/>
          <w:lang w:val="en-US" w:eastAsia="zh-CN"/>
        </w:rPr>
        <w:t xml:space="preserve">10000</w:t>
      </w:r>
      <w:r>
        <w:rPr>
          <w:rFonts w:hint="eastAsia" w:ascii="宋体" w:hAnsi="宋体" w:eastAsia="宋体" w:cs="宋体"/>
          <w:b/>
          <w:bCs/>
          <w:color w:val="auto"/>
          <w:sz w:val="24"/>
          <w:szCs w:val="24"/>
          <w:highlight w:val="none"/>
          <w:u w:val="single"/>
        </w:rPr>
        <w:t xml:space="preserve">元</w:t>
      </w:r>
      <w:r>
        <w:rPr>
          <w:rFonts w:hint="eastAsia" w:ascii="宋体" w:hAnsi="宋体" w:eastAsia="宋体" w:cs="宋体"/>
          <w:b/>
          <w:bCs/>
          <w:color w:val="auto"/>
          <w:sz w:val="24"/>
          <w:szCs w:val="24"/>
          <w:highlight w:val="none"/>
          <w:u w:val="none"/>
        </w:rPr>
        <w:t xml:space="preserve">收取。</w:t>
      </w:r>
      <w:r/>
    </w:p>
    <w:p>
      <w:pPr>
        <w:pStyle w:val="645"/>
        <w:ind w:firstLine="600"/>
        <w:jc w:val="both"/>
        <w:spacing w:beforeAutospacing="0" w:afterAutospacing="0" w:line="0" w:lineRule="atLeast"/>
        <w:rPr>
          <w:rFonts w:hint="eastAsia" w:ascii="宋体" w:hAnsi="宋体" w:eastAsia="宋体" w:cs="宋体"/>
          <w:color w:val="ff0000"/>
          <w:sz w:val="24"/>
          <w:szCs w:val="24"/>
          <w:highlight w:val="none"/>
        </w:rPr>
      </w:pPr>
      <w:r>
        <w:rPr>
          <w:rFonts w:hint="eastAsia" w:ascii="宋体" w:hAnsi="宋体" w:eastAsia="宋体" w:cs="宋体"/>
          <w:color w:val="auto"/>
          <w:sz w:val="24"/>
          <w:szCs w:val="24"/>
          <w:highlight w:val="none"/>
          <w:lang w:val="en-US" w:eastAsia="zh-CN"/>
        </w:rPr>
        <w:t xml:space="preserve">29.3.</w:t>
      </w:r>
      <w:r>
        <w:rPr>
          <w:rFonts w:hint="eastAsia" w:ascii="宋体" w:hAnsi="宋体" w:eastAsia="宋体" w:cs="宋体"/>
          <w:color w:val="auto"/>
          <w:sz w:val="24"/>
          <w:szCs w:val="24"/>
          <w:highlight w:val="none"/>
        </w:rPr>
        <w:t xml:space="preserve">4中标供应商未按照上述规定支付采购代理服务费（招标代理服务费）的，采购人将拒绝发放《中标通知书》，供应商务必将此项费用综合考虑纳入报价中。</w:t>
      </w:r>
      <w:r/>
    </w:p>
    <w:p>
      <w:pPr>
        <w:pStyle w:val="645"/>
        <w:jc w:val="both"/>
        <w:keepLines/>
        <w:keepNext/>
        <w:spacing w:before="145" w:beforeAutospacing="0" w:after="145" w:afterAutospacing="0" w:line="360" w:lineRule="auto"/>
        <w:rPr>
          <w:rFonts w:hint="eastAsia" w:ascii="宋体" w:hAnsi="宋体" w:eastAsia="宋体" w:cs="宋体"/>
          <w:sz w:val="24"/>
          <w:szCs w:val="24"/>
          <w:highlight w:val="none"/>
        </w:rPr>
      </w:pPr>
      <w:r/>
      <w:bookmarkStart w:id="162" w:name="_Toc513029236"/>
      <w:r/>
      <w:bookmarkStart w:id="163" w:name="_Toc20823308"/>
      <w:r/>
      <w:bookmarkStart w:id="164" w:name="_Toc120614220"/>
      <w:r/>
      <w:bookmarkStart w:id="165" w:name="_Toc16938552"/>
      <w:r>
        <w:rPr>
          <w:rFonts w:hint="eastAsia" w:ascii="宋体" w:hAnsi="宋体" w:eastAsia="宋体" w:cs="宋体"/>
          <w:b/>
          <w:color w:val="000000"/>
          <w:sz w:val="24"/>
          <w:szCs w:val="24"/>
          <w:highlight w:val="none"/>
        </w:rPr>
        <w:t xml:space="preserve">七、授予合同</w:t>
      </w:r>
      <w:bookmarkEnd w:id="162"/>
      <w:r/>
      <w:bookmarkEnd w:id="163"/>
      <w:r/>
      <w:bookmarkEnd w:id="164"/>
      <w:r/>
      <w:bookmarkEnd w:id="165"/>
      <w:r/>
      <w:r/>
    </w:p>
    <w:p>
      <w:pPr>
        <w:pStyle w:val="645"/>
        <w:ind w:firstLine="600"/>
        <w:jc w:val="both"/>
        <w:keepLines/>
        <w:keepNext/>
        <w:spacing w:beforeAutospacing="0" w:afterAutospacing="0"/>
        <w:rPr>
          <w:rFonts w:hint="eastAsia" w:ascii="宋体" w:hAnsi="宋体" w:eastAsia="宋体" w:cs="宋体"/>
          <w:sz w:val="24"/>
          <w:szCs w:val="24"/>
          <w:highlight w:val="none"/>
        </w:rPr>
      </w:pPr>
      <w:r/>
      <w:bookmarkStart w:id="166" w:name="_Toc16938553"/>
      <w:r/>
      <w:bookmarkStart w:id="167" w:name="_Toc20823309"/>
      <w:r/>
      <w:bookmarkStart w:id="168" w:name="_Toc513029237"/>
      <w:r>
        <w:rPr>
          <w:rFonts w:hint="eastAsia" w:ascii="宋体" w:hAnsi="宋体" w:eastAsia="宋体" w:cs="宋体"/>
          <w:color w:val="000000"/>
          <w:sz w:val="24"/>
          <w:szCs w:val="24"/>
          <w:highlight w:val="none"/>
        </w:rPr>
        <w:t xml:space="preserve">30.签订合同</w:t>
      </w:r>
      <w:bookmarkEnd w:id="166"/>
      <w:r/>
      <w:bookmarkEnd w:id="167"/>
      <w:r/>
      <w:bookmarkEnd w:id="168"/>
      <w:r/>
      <w:r/>
    </w:p>
    <w:p>
      <w:pPr>
        <w:pStyle w:val="645"/>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30.l中标人应当在中标通知书发出之日起三十日内，按照招标文件确定的事项与采购人签订政府采购合同。</w:t>
      </w:r>
      <w:r/>
    </w:p>
    <w:p>
      <w:pPr>
        <w:pStyle w:val="645"/>
        <w:ind w:firstLine="60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30.2招标文件、中标人的投标文件及招标过程中有关澄清、承诺文件均应作为合同附件。</w:t>
      </w:r>
      <w:r/>
    </w:p>
    <w:p>
      <w:pPr>
        <w:pStyle w:val="645"/>
        <w:ind w:firstLine="60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30.3签订合同后，</w:t>
      </w:r>
      <w:r>
        <w:rPr>
          <w:rFonts w:hint="eastAsia" w:ascii="宋体" w:hAnsi="宋体" w:eastAsia="宋体" w:cs="宋体"/>
          <w:i/>
          <w:color w:val="000000"/>
          <w:sz w:val="24"/>
          <w:szCs w:val="24"/>
          <w:highlight w:val="none"/>
          <w:u w:val="single"/>
        </w:rPr>
        <w:t xml:space="preserve">中标人不得将合同标的进行转包</w:t>
      </w:r>
      <w:r>
        <w:rPr>
          <w:rFonts w:hint="eastAsia" w:ascii="宋体" w:hAnsi="宋体" w:eastAsia="宋体" w:cs="宋体"/>
          <w:color w:val="000000"/>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645"/>
        <w:ind w:firstLine="600"/>
        <w:jc w:val="both"/>
        <w:keepLines/>
        <w:keepNext/>
        <w:spacing w:beforeAutospacing="0" w:afterAutospacing="0"/>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31、服务（包含与服务相关的货物）的追加</w:t>
      </w:r>
      <w:r/>
    </w:p>
    <w:p>
      <w:pPr>
        <w:pStyle w:val="645"/>
        <w:ind w:firstLine="480"/>
        <w:jc w:val="both"/>
        <w:spacing w:beforeAutospacing="0" w:afterAutospacing="0" w:line="0" w:lineRule="atLeast"/>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645"/>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32.政府采购政策功能落实</w:t>
      </w:r>
      <w:r/>
    </w:p>
    <w:p>
      <w:pPr>
        <w:pStyle w:val="645"/>
        <w:ind w:firstLine="600"/>
        <w:jc w:val="both"/>
        <w:keepLines/>
        <w:keepNext/>
        <w:spacing w:beforeAutospacing="0" w:afterAutospacing="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32.1</w:t>
      </w:r>
      <w:r>
        <w:rPr>
          <w:rFonts w:hint="eastAsia" w:ascii="宋体" w:hAnsi="宋体" w:eastAsia="宋体" w:cs="宋体"/>
          <w:color w:val="000000"/>
          <w:sz w:val="24"/>
          <w:szCs w:val="24"/>
          <w:highlight w:val="none"/>
        </w:rPr>
        <w:t xml:space="preserve">政府采购</w:t>
      </w:r>
      <w:r>
        <w:rPr>
          <w:rFonts w:hint="eastAsia" w:ascii="宋体" w:hAnsi="宋体" w:eastAsia="宋体" w:cs="宋体"/>
          <w:color w:val="000000"/>
          <w:sz w:val="24"/>
          <w:szCs w:val="24"/>
          <w:highlight w:val="none"/>
          <w:lang w:eastAsia="zh-CN"/>
        </w:rPr>
        <w:t xml:space="preserve">线上合同信用融资</w:t>
      </w:r>
      <w:r>
        <w:rPr>
          <w:rFonts w:hint="eastAsia" w:ascii="宋体" w:hAnsi="宋体" w:eastAsia="宋体" w:cs="宋体"/>
          <w:color w:val="000000"/>
          <w:sz w:val="24"/>
          <w:szCs w:val="24"/>
          <w:highlight w:val="none"/>
        </w:rPr>
        <w:t xml:space="preserve">政策</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000000"/>
          <w:sz w:val="24"/>
          <w:szCs w:val="24"/>
          <w:highlight w:val="none"/>
          <w:lang w:val="en-US" w:eastAsia="zh-CN"/>
        </w:rPr>
        <w:t xml:space="preserve">江苏</w:t>
      </w:r>
      <w:r>
        <w:rPr>
          <w:rFonts w:hint="eastAsia" w:ascii="宋体" w:hAnsi="宋体" w:eastAsia="宋体" w:cs="宋体"/>
          <w:color w:val="000000"/>
          <w:sz w:val="24"/>
          <w:szCs w:val="24"/>
          <w:highlight w:val="none"/>
        </w:rPr>
        <w:t xml:space="preserve">政府采购网“政采贷”栏目）申请贷款，相关金融机构按照双方自愿的原则提供便捷、优惠的贷款服务；具体操作流程请参考苏采云系统中操作手册。</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32.2进口产品</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32.3中小企业、监狱企业及残疾人福利性单位</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32.3.1中小企业定义：</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中小企业</w:t>
      </w:r>
      <w:r>
        <w:rPr>
          <w:rFonts w:hint="eastAsia" w:ascii="宋体" w:hAnsi="宋体" w:eastAsia="宋体" w:cs="宋体"/>
          <w:color w:val="000000"/>
          <w:sz w:val="24"/>
          <w:szCs w:val="24"/>
          <w:highlight w:val="none"/>
          <w:lang w:val="en-US" w:eastAsia="zh-CN"/>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32.3.2供应商提供的货物、工程或者服务符合下列情形的，享受中小企业扶持政策：</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32.3.2.1在货物采购项目中，货物由中小企业制造，即货物由中小企业生产且使用该中小企业商号或者注册商标；</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32.3.2.2在工程采购项目中，工程由中小企业承建，即工程施工单位为中小企业；</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32.3.3在货物采购项目中，供应商提供的货物既有中小企业制造货物，也有大型企业制造货物的，不享受中小企业扶持政策。</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32.3.6残疾人福利单位定义：享受政府采购支持政策的残疾人福利性单位应当同时满足以下条件：</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32.3.6.1安置的残疾人占本单位在职职工人数的比例不低于25%（含25%），并且安置的残疾人人数不少于10 人（含10 人）；</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32.3.6.2依法与安置的每位残疾人签订了一年以上（含一年）的劳动合同或服务协议；</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32.3.6.3为安置的每位残疾人按月足额缴纳了基本养老保险、基本医疗保险、失业保险、工伤保险和生育保险等社会保险费；</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32.3.7本项目是否专门面向中小企业预留采购份额见第一章《</w:t>
      </w:r>
      <w:r>
        <w:rPr>
          <w:rFonts w:hint="eastAsia" w:ascii="宋体" w:hAnsi="宋体" w:eastAsia="宋体" w:cs="宋体"/>
          <w:color w:val="auto"/>
          <w:sz w:val="24"/>
          <w:szCs w:val="24"/>
          <w:highlight w:val="none"/>
          <w:lang w:val="en-US" w:eastAsia="zh-CN"/>
        </w:rPr>
        <w:t xml:space="preserve">招标公告</w:t>
      </w:r>
      <w:r>
        <w:rPr>
          <w:rFonts w:hint="eastAsia" w:ascii="宋体" w:hAnsi="宋体" w:eastAsia="宋体" w:cs="宋体"/>
          <w:color w:val="000000"/>
          <w:sz w:val="24"/>
          <w:szCs w:val="24"/>
          <w:highlight w:val="none"/>
          <w:lang w:val="en-US" w:eastAsia="zh-CN"/>
        </w:rPr>
        <w:t xml:space="preserve">》。</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32.3.8采购标的对应的中小企业划分标准所属行业见第四章《采购需求》。</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32.3.9小微企业价格评审优惠的政策：见第五章《评标方法和评标标准》。</w:t>
      </w:r>
      <w:r/>
    </w:p>
    <w:p>
      <w:pPr>
        <w:pStyle w:val="645"/>
        <w:ind w:firstLine="600"/>
        <w:jc w:val="both"/>
        <w:keepLines/>
        <w:keepNext/>
        <w:spacing w:beforeAutospacing="0" w:afterAutospacing="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32.4政府采购节能产品、环境标志产品</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32.4.1严格执行政府采购关于支持</w:t>
      </w:r>
      <w:r>
        <w:rPr>
          <w:rFonts w:hint="eastAsia" w:ascii="宋体" w:hAnsi="宋体" w:eastAsia="宋体" w:cs="宋体"/>
          <w:color w:val="000000"/>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32.5绿色包装</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32.6政府采购创新产品</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采购人优先采购各级政府部门公开发布的有效期内的创新产品、创新服务、首台套、首购首用等《目录》的创新产品。</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32.7绿色数据中心政策 </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000000"/>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80" w:lineRule="exact"/>
        <w:tabs>
          <w:tab w:val="left" w:pos="1381"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32.8履约保证金政策</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确需收取履约保证金的，履约保证金的缴纳形式：</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 预付款制度</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645"/>
        <w:ind w:firstLine="480"/>
        <w:jc w:val="both"/>
        <w:spacing w:beforeAutospacing="0" w:afterAutospacing="0" w:line="0" w:lineRule="atLeas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645"/>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jc w:val="center"/>
        <w:keepLines w:val="0"/>
        <w:keepNext w:val="0"/>
        <w:pageBreakBefore w:val="0"/>
        <w:spacing w:line="500" w:lineRule="exact"/>
        <w:widowControl w:val="off"/>
        <w:rPr>
          <w:sz w:val="36"/>
          <w:szCs w:val="36"/>
          <w:highlight w:val="none"/>
        </w:rPr>
      </w:pPr>
      <w:r>
        <w:rPr>
          <w:rFonts w:hint="eastAsia" w:ascii="黑体" w:hAnsi="宋体" w:eastAsia="黑体" w:cs="黑体"/>
          <w:color w:val="000000"/>
          <w:sz w:val="36"/>
          <w:szCs w:val="36"/>
          <w:highlight w:val="none"/>
        </w:rPr>
        <w:t xml:space="preserve">第三章</w:t>
      </w:r>
      <w:r>
        <w:rPr>
          <w:rFonts w:hint="eastAsia" w:ascii="黑体" w:hAnsi="宋体" w:eastAsia="黑体" w:cs="黑体"/>
          <w:color w:val="000000"/>
          <w:sz w:val="36"/>
          <w:szCs w:val="36"/>
          <w:highlight w:val="none"/>
          <w:lang w:val="en-US" w:eastAsia="zh-CN"/>
        </w:rPr>
        <w:t xml:space="preserve"> </w:t>
      </w:r>
      <w:r>
        <w:rPr>
          <w:rFonts w:hint="eastAsia" w:ascii="黑体" w:hAnsi="宋体" w:eastAsia="黑体" w:cs="黑体"/>
          <w:color w:val="000000"/>
          <w:sz w:val="36"/>
          <w:szCs w:val="36"/>
          <w:highlight w:val="none"/>
        </w:rPr>
        <w:t xml:space="preserve"> 合同文本</w:t>
      </w:r>
      <w:r/>
    </w:p>
    <w:p>
      <w:pPr>
        <w:pStyle w:val="645"/>
        <w:ind w:firstLine="480"/>
        <w:jc w:val="both"/>
        <w:keepLines w:val="0"/>
        <w:keepNext w:val="0"/>
        <w:pageBreakBefore w:val="0"/>
        <w:spacing w:beforeAutospacing="0" w:afterAutospacing="0" w:line="500" w:lineRule="exact"/>
        <w:widowControl w:val="off"/>
        <w:rPr>
          <w:rFonts w:hint="eastAsia" w:ascii="宋体" w:hAnsi="宋体" w:eastAsia="宋体" w:cs="宋体"/>
          <w:sz w:val="24"/>
          <w:szCs w:val="24"/>
          <w:highlight w:val="none"/>
        </w:rPr>
      </w:pPr>
      <w:r/>
      <w:bookmarkStart w:id="169" w:name="_Toc20823315"/>
      <w:r/>
      <w:bookmarkStart w:id="170" w:name="_Toc16938559"/>
      <w:r/>
      <w:bookmarkStart w:id="171" w:name="_Toc513029243"/>
      <w:r>
        <w:rPr>
          <w:rFonts w:hint="eastAsia" w:ascii="宋体" w:hAnsi="宋体" w:eastAsia="宋体" w:cs="宋体"/>
          <w:color w:val="000000"/>
          <w:sz w:val="24"/>
          <w:szCs w:val="24"/>
          <w:highlight w:val="none"/>
        </w:rPr>
        <w:t xml:space="preserve">以下为中标后签定本项目合同的通用条款，中标人不得提出实质性的修改。</w:t>
      </w:r>
      <w:bookmarkEnd w:id="169"/>
      <w:r/>
      <w:bookmarkEnd w:id="170"/>
      <w:r/>
      <w:bookmarkEnd w:id="171"/>
      <w:r/>
      <w:r/>
    </w:p>
    <w:p>
      <w:pPr>
        <w:pStyle w:val="645"/>
        <w:jc w:val="center"/>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盐城市政府采购合同（服务）（合同编号）</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江苏滨海港经济开发区区域安全风险评估项目</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val="en-US" w:eastAsia="zh-CN"/>
        </w:rPr>
        <w:t xml:space="preserve"> </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甲方：（买方）</w:t>
      </w:r>
      <w:r>
        <w:rPr>
          <w:rFonts w:hint="eastAsia" w:ascii="宋体" w:hAnsi="宋体" w:eastAsia="宋体" w:cs="宋体"/>
          <w:color w:val="000000"/>
          <w:sz w:val="24"/>
          <w:szCs w:val="24"/>
          <w:highlight w:val="none"/>
          <w:u w:val="single"/>
          <w:lang w:val="en-US" w:eastAsia="zh-CN"/>
        </w:rPr>
        <w:t xml:space="preserve">江苏滨海经济开发区沿海工业园管理委员会</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乙方：（卖方）_________</w:t>
      </w:r>
      <w:r/>
    </w:p>
    <w:p>
      <w:pPr>
        <w:pStyle w:val="645"/>
        <w:ind w:firstLine="241"/>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 </w:t>
      </w:r>
      <w:r>
        <w:rPr>
          <w:rFonts w:hint="eastAsia" w:ascii="宋体" w:hAnsi="宋体" w:eastAsia="宋体" w:cs="宋体"/>
          <w:color w:val="000000"/>
          <w:sz w:val="24"/>
          <w:szCs w:val="24"/>
          <w:highlight w:val="none"/>
        </w:rPr>
        <w:t xml:space="preserve">甲、乙双方根据</w:t>
      </w:r>
      <w:r>
        <w:rPr>
          <w:rFonts w:hint="eastAsia" w:ascii="宋体" w:hAnsi="宋体" w:eastAsia="宋体" w:cs="宋体"/>
          <w:color w:val="000000"/>
          <w:sz w:val="24"/>
          <w:szCs w:val="24"/>
          <w:highlight w:val="none"/>
          <w:u w:val="single"/>
          <w:lang w:val="en-US" w:eastAsia="zh-CN"/>
        </w:rPr>
        <w:t xml:space="preserve">江苏滨海港经济开发区区域安全风险评估项目</w:t>
      </w:r>
      <w:r>
        <w:rPr>
          <w:rFonts w:hint="eastAsia" w:ascii="宋体" w:hAnsi="宋体" w:eastAsia="宋体" w:cs="宋体"/>
          <w:color w:val="000000"/>
          <w:sz w:val="24"/>
          <w:szCs w:val="24"/>
          <w:highlight w:val="none"/>
        </w:rPr>
        <w:t xml:space="preserve">公开招标的结果，签署本合同。</w:t>
      </w:r>
      <w:r/>
    </w:p>
    <w:p>
      <w:pPr>
        <w:keepLines w:val="0"/>
        <w:keepNext w:val="0"/>
        <w:pageBreakBefore w:val="0"/>
        <w:spacing w:line="480" w:lineRule="exact"/>
        <w:widowControl w:val="off"/>
        <w:rPr>
          <w:rFonts w:hint="eastAsia" w:ascii="宋体" w:hAnsi="宋体" w:eastAsia="宋体" w:cs="宋体"/>
          <w:b/>
          <w:bCs/>
          <w:sz w:val="24"/>
          <w:szCs w:val="24"/>
        </w:rPr>
      </w:pPr>
      <w:r/>
      <w:bookmarkStart w:id="172" w:name="_Toc8964"/>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合同文件</w:t>
      </w:r>
      <w:bookmarkEnd w:id="172"/>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下列与本次采购活动有关的文件及附件是本合同不可分割的组成部分，与本合同具有同等法律效力，这些文件包括但不限于：</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1.采购文件</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2.投标文件</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3.乙方在投标时的书面承诺</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4.中标通知书</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5.合同补充条款或说明</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6.保密协议或条款</w:t>
      </w:r>
      <w:r/>
    </w:p>
    <w:p>
      <w:pPr>
        <w:keepLines w:val="0"/>
        <w:keepNext w:val="0"/>
        <w:pageBreakBefore w:val="0"/>
        <w:spacing w:line="48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7.相关附件、图纸及电子版资料</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rPr>
      </w:pPr>
      <w:r>
        <w:rPr>
          <w:rFonts w:hint="eastAsia" w:ascii="宋体" w:hAnsi="宋体" w:eastAsia="宋体" w:cs="宋体"/>
          <w:sz w:val="24"/>
          <w:szCs w:val="24"/>
        </w:rPr>
        <w:t xml:space="preserve">8.前述文件及本合同约定的内容如有不一致，以最有利于甲方的内容为准。</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二</w:t>
      </w:r>
      <w:r>
        <w:rPr>
          <w:rFonts w:hint="eastAsia" w:ascii="宋体" w:hAnsi="宋体" w:eastAsia="宋体" w:cs="宋体"/>
          <w:b/>
          <w:color w:val="000000"/>
          <w:sz w:val="24"/>
          <w:szCs w:val="24"/>
          <w:highlight w:val="none"/>
        </w:rPr>
        <w:t xml:space="preserve">、合同内容</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名称：</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 服务内容</w:t>
      </w:r>
      <w:r>
        <w:rPr>
          <w:rFonts w:hint="eastAsia" w:ascii="宋体" w:hAnsi="宋体" w:eastAsia="宋体" w:cs="宋体"/>
          <w:color w:val="000000"/>
          <w:sz w:val="24"/>
          <w:szCs w:val="24"/>
          <w:highlight w:val="none"/>
        </w:rPr>
        <w:t xml:space="preserve">：</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.3 </w:t>
      </w:r>
      <w:r>
        <w:rPr>
          <w:rFonts w:hint="eastAsia" w:ascii="宋体" w:hAnsi="宋体" w:eastAsia="宋体" w:cs="宋体"/>
          <w:color w:val="000000"/>
          <w:sz w:val="24"/>
          <w:szCs w:val="24"/>
          <w:highlight w:val="none"/>
          <w:lang w:val="en-US" w:eastAsia="zh-CN"/>
        </w:rPr>
        <w:t xml:space="preserve">服务标准</w:t>
      </w:r>
      <w:r>
        <w:rPr>
          <w:rFonts w:hint="eastAsia" w:ascii="宋体" w:hAnsi="宋体" w:eastAsia="宋体" w:cs="宋体"/>
          <w:color w:val="000000"/>
          <w:sz w:val="24"/>
          <w:szCs w:val="24"/>
          <w:highlight w:val="none"/>
        </w:rPr>
        <w:t xml:space="preserve">：</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.4 履行时间（期限）：</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rPr>
        <w:t xml:space="preserve">、合同金额</w:t>
      </w:r>
      <w:r/>
    </w:p>
    <w:p>
      <w:pPr>
        <w:pStyle w:val="645"/>
        <w:ind w:left="410" w:hanging="41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本合同金额为（大写）：________________________（_______________元）</w:t>
      </w:r>
      <w:r>
        <w:rPr>
          <w:rFonts w:hint="eastAsia" w:ascii="宋体" w:hAnsi="宋体" w:eastAsia="宋体" w:cs="宋体"/>
          <w:color w:val="000000"/>
          <w:sz w:val="24"/>
          <w:szCs w:val="24"/>
          <w:highlight w:val="none"/>
          <w:lang w:val="en-US" w:eastAsia="zh-CN"/>
        </w:rPr>
        <w:t xml:space="preserve">人</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民币或其他币种。</w:t>
      </w:r>
      <w:r/>
    </w:p>
    <w:p>
      <w:pPr>
        <w:ind w:firstLine="480"/>
        <w:keepLines w:val="0"/>
        <w:keepNext w:val="0"/>
        <w:pageBreakBefore w:val="0"/>
        <w:spacing w:line="48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lang w:val="en-US" w:eastAsia="zh-CN"/>
        </w:rPr>
        <w:t xml:space="preserve">备注：</w:t>
      </w:r>
      <w:r>
        <w:rPr>
          <w:rFonts w:hint="eastAsia" w:ascii="宋体" w:hAnsi="宋体" w:eastAsia="宋体" w:cs="宋体"/>
          <w:sz w:val="24"/>
          <w:szCs w:val="24"/>
          <w:highlight w:val="none"/>
        </w:rPr>
        <w:t xml:space="preserve">以上</w:t>
      </w:r>
      <w:r>
        <w:rPr>
          <w:rFonts w:hint="eastAsia" w:ascii="宋体" w:hAnsi="宋体" w:eastAsia="宋体" w:cs="宋体"/>
          <w:sz w:val="24"/>
          <w:szCs w:val="24"/>
          <w:highlight w:val="none"/>
          <w:lang w:val="en-US" w:eastAsia="zh-CN"/>
        </w:rPr>
        <w:t xml:space="preserve">合同总价</w:t>
      </w:r>
      <w:r>
        <w:rPr>
          <w:rFonts w:hint="eastAsia" w:ascii="宋体" w:hAnsi="宋体" w:eastAsia="宋体" w:cs="宋体"/>
          <w:sz w:val="24"/>
          <w:szCs w:val="24"/>
          <w:highlight w:val="none"/>
        </w:rPr>
        <w:t xml:space="preserve">包括在</w:t>
      </w:r>
      <w:r>
        <w:rPr>
          <w:rFonts w:hint="eastAsia" w:ascii="宋体" w:hAnsi="宋体" w:eastAsia="宋体" w:cs="宋体"/>
          <w:sz w:val="24"/>
          <w:szCs w:val="24"/>
          <w:highlight w:val="none"/>
          <w:lang w:val="en-US" w:eastAsia="zh-CN"/>
        </w:rPr>
        <w:t xml:space="preserve">服务</w:t>
      </w:r>
      <w:r>
        <w:rPr>
          <w:rFonts w:hint="eastAsia" w:ascii="宋体" w:hAnsi="宋体" w:eastAsia="宋体" w:cs="宋体"/>
          <w:sz w:val="24"/>
          <w:szCs w:val="24"/>
          <w:highlight w:val="none"/>
        </w:rPr>
        <w:t xml:space="preserve">期内完成服务内容所需要的一切费用，包括但不限于人工（包括工资、奖金、社保、法定节假日加班费等费用）、</w:t>
      </w:r>
      <w:r>
        <w:rPr>
          <w:rFonts w:hint="eastAsia" w:ascii="宋体" w:hAnsi="宋体" w:eastAsia="宋体" w:cs="宋体"/>
          <w:sz w:val="24"/>
          <w:szCs w:val="24"/>
          <w:highlight w:val="none"/>
          <w:lang w:val="en-US" w:eastAsia="zh-CN"/>
        </w:rPr>
        <w:t xml:space="preserve">食宿</w:t>
      </w:r>
      <w:r>
        <w:rPr>
          <w:rFonts w:hint="eastAsia" w:ascii="宋体" w:hAnsi="宋体" w:eastAsia="宋体" w:cs="宋体"/>
          <w:sz w:val="24"/>
          <w:szCs w:val="24"/>
          <w:highlight w:val="none"/>
        </w:rPr>
        <w:t xml:space="preserve">、通讯、保险、各种税费、利润及合同包含的所有风险、责任等的费用（国家政策性调整及相关文件规定除外），</w:t>
      </w:r>
      <w:r>
        <w:rPr>
          <w:rFonts w:hint="eastAsia" w:ascii="宋体" w:hAnsi="宋体" w:eastAsia="宋体" w:cs="宋体"/>
          <w:color w:val="000000"/>
          <w:sz w:val="24"/>
          <w:szCs w:val="24"/>
          <w:highlight w:val="none"/>
        </w:rPr>
        <w:t xml:space="preserve">以及为完成招标文件规定的</w:t>
      </w:r>
      <w:r>
        <w:rPr>
          <w:rFonts w:hint="eastAsia" w:ascii="宋体" w:hAnsi="宋体" w:eastAsia="宋体" w:cs="宋体"/>
          <w:color w:val="000000"/>
          <w:sz w:val="24"/>
          <w:szCs w:val="24"/>
          <w:highlight w:val="none"/>
          <w:lang w:val="en-US" w:eastAsia="zh-CN"/>
        </w:rPr>
        <w:t xml:space="preserve">报告编制费、专家评审费、交通费等</w:t>
      </w:r>
      <w:r>
        <w:rPr>
          <w:rFonts w:hint="eastAsia" w:ascii="宋体" w:hAnsi="宋体" w:eastAsia="宋体" w:cs="宋体"/>
          <w:color w:val="000000"/>
          <w:sz w:val="24"/>
          <w:szCs w:val="24"/>
          <w:highlight w:val="none"/>
          <w:lang w:val="zh-CN"/>
        </w:rPr>
        <w:t xml:space="preserve">，</w:t>
      </w:r>
      <w:r>
        <w:rPr>
          <w:rFonts w:hint="eastAsia" w:ascii="宋体" w:hAnsi="宋体" w:eastAsia="宋体" w:cs="宋体"/>
          <w:sz w:val="24"/>
          <w:szCs w:val="24"/>
          <w:highlight w:val="none"/>
        </w:rPr>
        <w:t xml:space="preserve">除非因特殊原因并经双方协商同意，乙方不得再要求追加任何费用。</w:t>
      </w:r>
      <w:r/>
    </w:p>
    <w:p>
      <w:pPr>
        <w:pStyle w:val="645"/>
        <w:jc w:val="both"/>
        <w:keepLines w:val="0"/>
        <w:keepNext w:val="0"/>
        <w:pageBreakBefore w:val="0"/>
        <w:spacing w:before="120" w:beforeAutospacing="0" w:after="120" w:afterAutospacing="0" w:line="500" w:lineRule="exact"/>
        <w:widowControl w:val="off"/>
        <w:rPr>
          <w:rFonts w:hint="eastAsia" w:ascii="宋体" w:hAnsi="宋体" w:eastAsia="宋体" w:cs="宋体"/>
          <w:b/>
          <w:color w:val="000000"/>
          <w:sz w:val="24"/>
          <w:szCs w:val="24"/>
          <w:highlight w:val="none"/>
          <w:lang w:val="en-US" w:eastAsia="zh-CN"/>
        </w:rPr>
      </w:pPr>
      <w:r/>
      <w:bookmarkStart w:id="173" w:name="_Toc19047"/>
      <w:r>
        <w:rPr>
          <w:rFonts w:hint="eastAsia" w:ascii="宋体" w:hAnsi="宋体" w:eastAsia="宋体" w:cs="宋体"/>
          <w:b/>
          <w:color w:val="000000"/>
          <w:sz w:val="24"/>
          <w:szCs w:val="24"/>
          <w:highlight w:val="none"/>
          <w:lang w:val="en-US" w:eastAsia="zh-CN"/>
        </w:rPr>
        <w:t xml:space="preserve">四、权利义务</w:t>
      </w:r>
      <w:bookmarkEnd w:id="173"/>
      <w:r/>
      <w:r/>
    </w:p>
    <w:p>
      <w:pPr>
        <w:keepLines w:val="0"/>
        <w:keepNext w:val="0"/>
        <w:pageBreakBefore w:val="0"/>
        <w:spacing w:line="480" w:lineRule="exact"/>
        <w:widowControl w:val="off"/>
        <w:rPr>
          <w:rFonts w:hint="eastAsia" w:ascii="宋体" w:hAnsi="宋体" w:eastAsia="宋体" w:cs="宋体"/>
          <w:sz w:val="24"/>
          <w:szCs w:val="24"/>
          <w:highlight w:val="none"/>
        </w:rPr>
      </w:pPr>
      <w:r/>
      <w:bookmarkStart w:id="174" w:name="_Toc479757211"/>
      <w:r/>
      <w:bookmarkStart w:id="175" w:name="_Toc20823346"/>
      <w:r/>
      <w:bookmarkStart w:id="176" w:name="_Hlt16619350"/>
      <w:r/>
      <w:bookmarkStart w:id="177" w:name="_Toc16938590"/>
      <w:r/>
      <w:bookmarkStart w:id="178" w:name="_Toc120614244"/>
      <w:r/>
      <w:bookmarkStart w:id="179" w:name="_Toc462564139"/>
      <w:r/>
      <w:bookmarkStart w:id="180" w:name="_Hlt16619369"/>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甲方的权利义务</w:t>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甲方对乙方</w:t>
      </w:r>
      <w:r>
        <w:rPr>
          <w:rFonts w:hint="eastAsia" w:ascii="宋体" w:hAnsi="宋体" w:eastAsia="宋体" w:cs="宋体"/>
          <w:sz w:val="24"/>
          <w:szCs w:val="24"/>
          <w:highlight w:val="none"/>
          <w:lang w:val="en-US" w:eastAsia="zh-CN"/>
        </w:rPr>
        <w:t xml:space="preserve">项目实施进度进行</w:t>
      </w:r>
      <w:r>
        <w:rPr>
          <w:rFonts w:hint="eastAsia" w:ascii="宋体" w:hAnsi="宋体" w:eastAsia="宋体" w:cs="宋体"/>
          <w:sz w:val="24"/>
          <w:szCs w:val="24"/>
          <w:highlight w:val="none"/>
        </w:rPr>
        <w:t xml:space="preserve">检查、考核、管理的权利。</w:t>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甲方可对乙方</w:t>
      </w:r>
      <w:r>
        <w:rPr>
          <w:rFonts w:hint="eastAsia" w:ascii="宋体" w:hAnsi="宋体" w:eastAsia="宋体" w:cs="宋体"/>
          <w:sz w:val="24"/>
          <w:szCs w:val="24"/>
          <w:highlight w:val="none"/>
          <w:lang w:val="en-US" w:eastAsia="zh-CN"/>
        </w:rPr>
        <w:t xml:space="preserve">项目实施</w:t>
      </w:r>
      <w:r>
        <w:rPr>
          <w:rFonts w:hint="eastAsia" w:ascii="宋体" w:hAnsi="宋体" w:eastAsia="宋体" w:cs="宋体"/>
          <w:sz w:val="24"/>
          <w:szCs w:val="24"/>
          <w:highlight w:val="none"/>
        </w:rPr>
        <w:t xml:space="preserve">存在问题限期整改，整改费用由乙方承担。</w:t>
      </w:r>
      <w:r/>
    </w:p>
    <w:p>
      <w:pPr>
        <w:keepLines w:val="0"/>
        <w:keepNext w:val="0"/>
        <w:pageBreakBefore w:val="0"/>
        <w:spacing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甲方需确保乙方合同价款的按时到位。</w:t>
      </w:r>
      <w:r>
        <w:rPr>
          <w:rFonts w:hint="eastAsia" w:ascii="宋体" w:hAnsi="宋体" w:eastAsia="宋体" w:cs="宋体"/>
          <w:sz w:val="24"/>
          <w:szCs w:val="24"/>
          <w:highlight w:val="none"/>
          <w:lang w:eastAsia="zh-CN"/>
        </w:rPr>
        <w:tab/>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1.4</w:t>
      </w:r>
      <w:r>
        <w:rPr>
          <w:rFonts w:hint="eastAsia" w:ascii="宋体" w:hAnsi="宋体" w:eastAsia="宋体" w:cs="宋体"/>
          <w:sz w:val="24"/>
          <w:szCs w:val="24"/>
          <w:highlight w:val="none"/>
        </w:rPr>
        <w:t xml:space="preserve">甲方保证服务期间，对乙方工作给予支持，提供水、电、场地等</w:t>
      </w:r>
      <w:r>
        <w:rPr>
          <w:rFonts w:hint="eastAsia" w:ascii="宋体" w:hAnsi="宋体" w:eastAsia="宋体" w:cs="宋体"/>
          <w:sz w:val="24"/>
          <w:szCs w:val="24"/>
          <w:highlight w:val="none"/>
          <w:lang w:eastAsia="zh-CN"/>
        </w:rPr>
        <w:t xml:space="preserve">必需的</w:t>
      </w:r>
      <w:r>
        <w:rPr>
          <w:rFonts w:hint="eastAsia" w:ascii="宋体" w:hAnsi="宋体" w:eastAsia="宋体" w:cs="宋体"/>
          <w:sz w:val="24"/>
          <w:szCs w:val="24"/>
          <w:highlight w:val="none"/>
        </w:rPr>
        <w:t xml:space="preserve">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1.5 </w:t>
      </w:r>
      <w:r>
        <w:rPr>
          <w:rFonts w:hint="eastAsia" w:ascii="宋体" w:hAnsi="宋体" w:eastAsia="宋体" w:cs="宋体"/>
          <w:sz w:val="24"/>
          <w:szCs w:val="24"/>
          <w:highlight w:val="none"/>
        </w:rPr>
        <w:t xml:space="preserve">甲方保证所提供资料、文件的真实性、准确性以及完整性。</w:t>
      </w:r>
      <w:r/>
    </w:p>
    <w:p>
      <w:pPr>
        <w:keepLines w:val="0"/>
        <w:keepNext w:val="0"/>
        <w:pageBreakBefore w:val="0"/>
        <w:spacing w:line="48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乙方的权利和义务</w:t>
      </w:r>
      <w:r/>
    </w:p>
    <w:p>
      <w:pPr>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2.1严格按照合同约定的要求、标准以及时间，组织有关专业人员及相关工作人员完成相应的工作。</w:t>
      </w:r>
      <w:r/>
    </w:p>
    <w:p>
      <w:pPr>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2.2乙方应当保证所提供项目成果的专业性、客观性、合法性。</w:t>
      </w:r>
      <w:r/>
    </w:p>
    <w:p>
      <w:pPr>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2.3在保证项目成果质量的前提下，乙方对于完成项目的方式方法及相关安排拥有最终的决定权，甲方不得无故干扰乙方的工作。</w:t>
      </w:r>
      <w:r/>
    </w:p>
    <w:p>
      <w:pPr>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2.4 乙方应当按照本合同的相关约定，及时提交项目成果，返还项目资料，对开展项目从甲方处所取得的相关资料承担保密责任。</w:t>
      </w:r>
      <w:r/>
    </w:p>
    <w:p>
      <w:pPr>
        <w:keepLines w:val="0"/>
        <w:keepNext w:val="0"/>
        <w:pageBreakBefore w:val="0"/>
        <w:spacing w:line="5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both"/>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五、合同转包或分包</w:t>
      </w:r>
      <w:r/>
    </w:p>
    <w:p>
      <w:pPr>
        <w:jc w:val="both"/>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1.乙方不得将合同标的转包给他人履行。</w:t>
      </w:r>
      <w:r/>
    </w:p>
    <w:p>
      <w:pPr>
        <w:jc w:val="both"/>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2.乙方不得将合同标的分包给他人履行。</w:t>
      </w:r>
      <w:r/>
    </w:p>
    <w:p>
      <w:pPr>
        <w:jc w:val="both"/>
        <w:keepLines w:val="0"/>
        <w:keepNext w:val="0"/>
        <w:pageBreakBefore w:val="0"/>
        <w:spacing w:before="145" w:beforeAutospacing="0" w:after="145"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3.乙方如有转包或未经甲方同意的分包行为，甲方有权解除合同。</w:t>
      </w:r>
      <w:r/>
    </w:p>
    <w:p>
      <w:pPr>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六、合同款项支付</w:t>
      </w:r>
      <w:r/>
    </w:p>
    <w:p>
      <w:pPr>
        <w:jc w:val="both"/>
        <w:keepLines w:val="0"/>
        <w:keepNext w:val="0"/>
        <w:pageBreakBefore w:val="0"/>
        <w:spacing w:before="145" w:beforeAutospacing="0" w:after="145"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1.本合同项下所有款项均以人民币支付。</w:t>
      </w:r>
      <w:r/>
    </w:p>
    <w:p>
      <w:pPr>
        <w:jc w:val="both"/>
        <w:keepLines w:val="0"/>
        <w:keepNext w:val="0"/>
        <w:pageBreakBefore w:val="0"/>
        <w:spacing w:before="145" w:beforeAutospacing="0" w:after="145"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2.合同款项的支付方式及进度安排：</w:t>
      </w:r>
      <w:r/>
    </w:p>
    <w:p>
      <w:pPr>
        <w:jc w:val="both"/>
        <w:keepLines w:val="0"/>
        <w:keepNext w:val="0"/>
        <w:pageBreakBefore w:val="0"/>
        <w:spacing w:before="145" w:beforeAutospacing="0" w:after="145"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2.1合同签订后，甲方收到发票后10个工作日内，支付合同金额的30%作为预付款。</w:t>
      </w:r>
      <w:r/>
    </w:p>
    <w:p>
      <w:pPr>
        <w:jc w:val="both"/>
        <w:keepLines w:val="0"/>
        <w:keepNext w:val="0"/>
        <w:pageBreakBefore w:val="0"/>
        <w:spacing w:before="145" w:beforeAutospacing="0" w:after="145"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2.2提交全部成果报告并通过专家评审后，支付合同金额的50%款项。</w:t>
      </w:r>
      <w:r/>
    </w:p>
    <w:p>
      <w:pPr>
        <w:jc w:val="both"/>
        <w:keepLines w:val="0"/>
        <w:keepNext w:val="0"/>
        <w:pageBreakBefore w:val="0"/>
        <w:spacing w:before="145" w:beforeAutospacing="0" w:after="145"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2.3合同履行期限满经采购人验收合格，支付合同金额剩余的20%款项。</w:t>
      </w:r>
      <w:r/>
    </w:p>
    <w:p>
      <w:pPr>
        <w:keepLines w:val="0"/>
        <w:keepNext w:val="0"/>
        <w:pageBreakBefore w:val="0"/>
        <w:spacing w:line="48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七、交付和验收</w:t>
      </w:r>
      <w:r/>
    </w:p>
    <w:p>
      <w:pPr>
        <w:keepLines w:val="0"/>
        <w:keepNext w:val="0"/>
        <w:pageBreakBefore w:val="0"/>
        <w:spacing w:line="48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服务期限：</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年  月  日 至</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年  月  日</w:t>
      </w:r>
      <w:r/>
    </w:p>
    <w:p>
      <w:pPr>
        <w:keepLines w:val="0"/>
        <w:keepNext w:val="0"/>
        <w:pageBreakBefore w:val="0"/>
        <w:spacing w:line="480" w:lineRule="exact"/>
        <w:widowControl w:val="off"/>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服务地点：</w:t>
      </w:r>
      <w:r>
        <w:rPr>
          <w:rFonts w:hint="eastAsia" w:ascii="宋体" w:hAnsi="宋体" w:eastAsia="宋体" w:cs="宋体"/>
          <w:sz w:val="24"/>
          <w:szCs w:val="24"/>
          <w:highlight w:val="none"/>
          <w:u w:val="single"/>
          <w:lang w:val="en-US" w:eastAsia="zh-CN"/>
        </w:rPr>
        <w:t xml:space="preserve">甲方指定地点</w:t>
      </w:r>
      <w:r/>
    </w:p>
    <w:p>
      <w:pPr>
        <w:keepLines w:val="0"/>
        <w:keepNext w:val="0"/>
        <w:pageBreakBefore w:val="0"/>
        <w:spacing w:line="480" w:lineRule="exact"/>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lang w:val="en-US" w:eastAsia="zh-CN"/>
        </w:rPr>
        <w:t xml:space="preserve">3.交付</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u w:val="single"/>
        </w:rPr>
        <w:t xml:space="preserve">甲方指定地点</w:t>
      </w:r>
      <w:r/>
    </w:p>
    <w:p>
      <w:pPr>
        <w:keepLines w:val="0"/>
        <w:keepNext w:val="0"/>
        <w:pageBreakBefore w:val="0"/>
        <w:spacing w:line="480" w:lineRule="exact"/>
        <w:widowControl w:val="off"/>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u w:val="single"/>
          <w:lang w:val="en-US" w:eastAsia="zh-CN"/>
        </w:rPr>
        <w:t xml:space="preserve">4.交付方式：邮寄交付或现场交付</w:t>
      </w:r>
      <w:r/>
    </w:p>
    <w:p>
      <w:pPr>
        <w:keepLines w:val="0"/>
        <w:keepNext w:val="0"/>
        <w:pageBreakBefore w:val="0"/>
        <w:spacing w:line="48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5.项目成果：《滨海港经济开发区风险源调查分析报告》、《滨海港经济开发区风险源分级分类可视化标注报告》、《滨海港经济开发区整体性安全风险评估报告》（电子版和纸质版）</w:t>
      </w:r>
      <w:r/>
    </w:p>
    <w:p>
      <w:pPr>
        <w:jc w:val="both"/>
        <w:keepLines w:val="0"/>
        <w:keepNext w:val="0"/>
        <w:pageBreakBefore w:val="0"/>
        <w:spacing w:before="145" w:beforeAutospacing="0" w:after="145" w:afterAutospacing="0" w:line="480" w:lineRule="exact"/>
        <w:widowControl w:val="off"/>
        <w:rPr>
          <w:rFonts w:hint="eastAsia" w:ascii="宋体" w:hAnsi="宋体" w:eastAsia="宋体" w:cs="宋体"/>
          <w:b w:val="0"/>
          <w:color w:val="000000"/>
          <w:sz w:val="24"/>
          <w:szCs w:val="24"/>
          <w:highlight w:val="none"/>
          <w:u w:val="single"/>
          <w:lang w:val="en-US" w:eastAsia="zh-CN"/>
        </w:rPr>
      </w:pPr>
      <w:r>
        <w:rPr>
          <w:rFonts w:hint="eastAsia" w:ascii="宋体" w:hAnsi="宋体" w:eastAsia="宋体" w:cs="宋体"/>
          <w:b w:val="0"/>
          <w:color w:val="000000"/>
          <w:sz w:val="24"/>
          <w:szCs w:val="24"/>
          <w:highlight w:val="none"/>
          <w:u w:val="single"/>
          <w:lang w:val="en-US" w:eastAsia="zh-CN" w:bidi="ar-SA"/>
        </w:rPr>
        <w:t xml:space="preserve">6.</w:t>
      </w:r>
      <w:r>
        <w:rPr>
          <w:rFonts w:hint="eastAsia" w:ascii="宋体" w:hAnsi="宋体" w:eastAsia="宋体" w:cs="宋体"/>
          <w:b w:val="0"/>
          <w:color w:val="000000"/>
          <w:sz w:val="24"/>
          <w:szCs w:val="24"/>
          <w:highlight w:val="none"/>
          <w:u w:val="single"/>
          <w:lang w:val="en-US" w:eastAsia="zh-CN"/>
        </w:rPr>
        <w:t xml:space="preserve">项目的验收：甲方应于收到乙方提交的项目成果之日起30日内，按照法律规定以及合同约定的标准对项目成果进行验收，如有异议，应于前述期间内以书面形式提出，乙方将做对应的调整并重新提交，甲方应于乙方重新提交之日起 30 日内书面确认；甲方超过前述期间未予提出异议的，视为乙方提交的项目成果符合法律法规规定和合同约定的标准，相应阶段的工作已完成。</w:t>
      </w:r>
      <w:r/>
    </w:p>
    <w:p>
      <w:pPr>
        <w:ind w:firstLine="0"/>
        <w:jc w:val="left"/>
        <w:spacing w:before="0" w:line="40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八、</w:t>
      </w:r>
      <w:r>
        <w:rPr>
          <w:rFonts w:hint="eastAsia" w:ascii="宋体" w:hAnsi="宋体" w:eastAsia="宋体" w:cs="宋体"/>
          <w:b/>
          <w:bCs/>
          <w:sz w:val="24"/>
          <w:szCs w:val="24"/>
          <w:highlight w:val="none"/>
        </w:rPr>
        <w:t xml:space="preserve">违约责任</w:t>
      </w:r>
      <w:r/>
    </w:p>
    <w:p>
      <w:pPr>
        <w:pStyle w:val="655"/>
        <w:ind w:firstLine="562"/>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本合同履行过程中发生违约的，违约方应在收到守约方要求更正违约行为的通知之日起5日内更正相应行为，逾期超过5日仍未更正的，守约方有权要求解除本合同，要求违约方向守约方支付合同总价的20%的违约金，违约金不足以弥补损失的，违约方仍应负责赔偿。</w:t>
      </w:r>
      <w:r/>
    </w:p>
    <w:p>
      <w:pPr>
        <w:pStyle w:val="655"/>
        <w:ind w:firstLine="562"/>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违约方因违约行为给守约方造成损失的，除按照本合同约定承担违约责任外，还应当承担赔偿责任，包括但不限于对守约方所造成的直接损失、可得利益损失、守约方支付给第三方的赔偿费用、违约金、罚款、守约方因维护合法权益支出的全部费用诉讼费、律师费、调查取证费用、公证费、交通费、财产保全保险费用等因此产生的一切费用。</w:t>
      </w:r>
      <w:r/>
    </w:p>
    <w:p>
      <w:pPr>
        <w:pStyle w:val="655"/>
        <w:ind w:firstLine="562"/>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由于乙方原因未能在约定期限内提交项目成果的，经双方协商，时间可做适当顺延。如未按顺延时间实施项目的，每逾期1个工作日，甲方可按日向乙方要求延迟交付部分服务费用1‰的违约金。</w:t>
      </w:r>
      <w:r/>
    </w:p>
    <w:p>
      <w:pPr>
        <w:pStyle w:val="655"/>
        <w:ind w:firstLine="562"/>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一方因违约而承担的违约责任，不得超过合同金额的</w:t>
      </w:r>
      <w:r>
        <w:rPr>
          <w:rFonts w:hint="eastAsia" w:ascii="宋体" w:hAnsi="宋体" w:eastAsia="宋体" w:cs="宋体"/>
          <w:color w:val="auto"/>
          <w:sz w:val="24"/>
          <w:szCs w:val="24"/>
          <w:highlight w:val="none"/>
          <w:u w:val="single"/>
        </w:rPr>
        <w:t xml:space="preserve">20</w:t>
      </w:r>
      <w:r>
        <w:rPr>
          <w:rFonts w:hint="eastAsia" w:ascii="宋体" w:hAnsi="宋体" w:eastAsia="宋体" w:cs="宋体"/>
          <w:color w:val="auto"/>
          <w:sz w:val="24"/>
          <w:szCs w:val="24"/>
          <w:highlight w:val="none"/>
        </w:rPr>
        <w:t xml:space="preserve">%。</w:t>
      </w:r>
      <w:r/>
    </w:p>
    <w:p>
      <w:pPr>
        <w:ind w:firstLine="0"/>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rPr>
        <w:t xml:space="preserve">保密条款</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乙方在合同履行期间知悉的甲方及相关企业秘密（包括但不限于国家秘密、商业秘密、个人隐私等），不得透露或以其他方式提供给合同双方以外的其他方（包括乙方内部与本合同无关的任何人员），乙方的保密责任不因本合同的终止、变更、无效或者被撤销而终止。</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甲方对合同条款及所知悉的乙方商业秘密，不得</w:t>
      </w:r>
      <w:r>
        <w:rPr>
          <w:rFonts w:hint="eastAsia" w:ascii="宋体" w:hAnsi="宋体" w:eastAsia="宋体" w:cs="宋体"/>
          <w:color w:val="auto"/>
          <w:sz w:val="24"/>
          <w:szCs w:val="24"/>
          <w:highlight w:val="none"/>
          <w:lang w:eastAsia="zh-CN"/>
        </w:rPr>
        <w:t xml:space="preserve">透露</w:t>
      </w:r>
      <w:r>
        <w:rPr>
          <w:rFonts w:hint="eastAsia" w:ascii="宋体" w:hAnsi="宋体" w:eastAsia="宋体" w:cs="宋体"/>
          <w:color w:val="auto"/>
          <w:sz w:val="24"/>
          <w:szCs w:val="24"/>
          <w:highlight w:val="none"/>
        </w:rPr>
        <w:t xml:space="preserve">或以其他方式提供给合同双方以外的其他方（包括甲方内部与本合同无关的任何人员），甲方的保密责任不因本合同的终止、变更、无效或者被撤销而终止。</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因司法、行政机关查证事实需要、相关法律法规规定要求以及相应秘密已经为公众所知悉等情况进行信息披露的，不应被认定为违反了本合同的保密条款。</w:t>
      </w:r>
      <w:r/>
    </w:p>
    <w:p>
      <w:pPr>
        <w:ind w:firstLine="480"/>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双方违反本合同所约定的保密义务，应按照本合同总金额20%的标准支付违约金，前述违约金不足以弥补对方损失的，违约方仍应负责赔偿。</w:t>
      </w:r>
      <w:r/>
    </w:p>
    <w:p>
      <w:pPr>
        <w:ind w:firstLine="0"/>
        <w:jc w:val="left"/>
        <w:spacing w:before="0"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w:t>
      </w:r>
      <w:r>
        <w:rPr>
          <w:rFonts w:hint="eastAsia" w:ascii="宋体" w:hAnsi="宋体" w:eastAsia="宋体" w:cs="宋体"/>
          <w:b/>
          <w:bCs/>
          <w:color w:val="auto"/>
          <w:sz w:val="24"/>
          <w:szCs w:val="24"/>
          <w:highlight w:val="none"/>
        </w:rPr>
        <w:t xml:space="preserve">项目成果归属和使用</w:t>
      </w:r>
      <w:r/>
    </w:p>
    <w:p>
      <w:pPr>
        <w:pStyle w:val="655"/>
        <w:ind w:firstLine="562"/>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因履行本协议产生的项目成果，其所有权以及因此产生的利益均由</w:t>
      </w:r>
      <w:r>
        <w:rPr>
          <w:rFonts w:hint="eastAsia" w:ascii="宋体" w:hAnsi="宋体" w:eastAsia="宋体" w:cs="宋体"/>
          <w:color w:val="auto"/>
          <w:sz w:val="24"/>
          <w:szCs w:val="24"/>
          <w:highlight w:val="none"/>
          <w:u w:val="single"/>
          <w:lang w:val="en-US" w:eastAsia="zh-CN"/>
        </w:rPr>
        <w:t xml:space="preserve">甲</w:t>
      </w:r>
      <w:r>
        <w:rPr>
          <w:rFonts w:hint="eastAsia" w:ascii="宋体" w:hAnsi="宋体" w:eastAsia="宋体" w:cs="宋体"/>
          <w:color w:val="auto"/>
          <w:sz w:val="24"/>
          <w:szCs w:val="24"/>
          <w:highlight w:val="none"/>
        </w:rPr>
        <w:t xml:space="preserve">方享有。</w:t>
      </w:r>
      <w:r/>
    </w:p>
    <w:p>
      <w:pPr>
        <w:pStyle w:val="655"/>
        <w:ind w:firstLine="562"/>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项目成果的使用权归</w:t>
      </w:r>
      <w:r>
        <w:rPr>
          <w:rFonts w:hint="eastAsia" w:ascii="宋体" w:hAnsi="宋体" w:eastAsia="宋体" w:cs="宋体"/>
          <w:color w:val="auto"/>
          <w:sz w:val="24"/>
          <w:szCs w:val="24"/>
          <w:highlight w:val="none"/>
          <w:u w:val="single"/>
          <w:lang w:val="en-US" w:eastAsia="zh-CN"/>
        </w:rPr>
        <w:t xml:space="preserve">甲</w:t>
      </w:r>
      <w:r>
        <w:rPr>
          <w:rFonts w:hint="eastAsia" w:ascii="宋体" w:hAnsi="宋体" w:eastAsia="宋体" w:cs="宋体"/>
          <w:color w:val="auto"/>
          <w:sz w:val="24"/>
          <w:szCs w:val="24"/>
          <w:highlight w:val="none"/>
        </w:rPr>
        <w:t xml:space="preserve">方所有，项目成果仅为本合同所涉之目的而使用，不适用于其他目的。因使用项目成果不当而产生的任何后果与乙方无关。</w:t>
      </w:r>
      <w:r/>
    </w:p>
    <w:p>
      <w:pPr>
        <w:pStyle w:val="655"/>
        <w:ind w:firstLine="562"/>
        <w:spacing w:before="0"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未经乙方同意，项目成果全部或部分内容不得以任何形式进行公开。</w:t>
      </w:r>
      <w:r/>
    </w:p>
    <w:p>
      <w:pPr>
        <w:ind w:firstLine="482"/>
        <w:jc w:val="both"/>
        <w:keepLines w:val="0"/>
        <w:keepNext w:val="0"/>
        <w:pageBreakBefore w:val="0"/>
        <w:spacing w:before="120" w:beforeAutospacing="0" w:after="120" w:afterAutospacing="0" w:line="480" w:lineRule="exact"/>
        <w:widowControl w:val="off"/>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十</w:t>
      </w:r>
      <w:r>
        <w:rPr>
          <w:rFonts w:hint="eastAsia" w:ascii="宋体" w:hAnsi="宋体" w:eastAsia="宋体" w:cs="宋体"/>
          <w:b/>
          <w:color w:val="000000"/>
          <w:sz w:val="24"/>
          <w:szCs w:val="24"/>
          <w:highlight w:val="none"/>
          <w:lang w:val="en-US" w:eastAsia="zh-CN"/>
        </w:rPr>
        <w:t xml:space="preserve">一</w:t>
      </w:r>
      <w:r>
        <w:rPr>
          <w:rFonts w:hint="eastAsia" w:ascii="宋体" w:hAnsi="宋体" w:eastAsia="宋体" w:cs="宋体"/>
          <w:b/>
          <w:color w:val="000000"/>
          <w:sz w:val="24"/>
          <w:szCs w:val="24"/>
          <w:highlight w:val="none"/>
        </w:rPr>
        <w:t xml:space="preserve">、不可抗力事件处理</w:t>
      </w:r>
      <w:r/>
    </w:p>
    <w:p>
      <w:pPr>
        <w:ind w:left="0"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1.在合同有效期内，任何一方因不可抗力事件导致不能履行合同，则合同履</w:t>
      </w:r>
      <w:r/>
    </w:p>
    <w:p>
      <w:p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行期可延长，其延长期与不可抗力影响期相同。</w:t>
      </w:r>
      <w:r/>
    </w:p>
    <w:p>
      <w:p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2.不可抗力事件发生后，应立即通知对方，并寄送有关权威机构出具的证明。</w:t>
      </w:r>
      <w:r/>
    </w:p>
    <w:p>
      <w:p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3.不可抗力事件延续120天以上，双方应通过友好协商，确定是否继续履行合同。</w:t>
      </w:r>
      <w:r/>
    </w:p>
    <w:p>
      <w:pPr>
        <w:ind w:firstLine="482"/>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十二、解决争议的方法</w:t>
      </w:r>
      <w:r/>
    </w:p>
    <w:p>
      <w:p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1.双方在签订、履行合同中所发生的一切争议，应通过友好协商解决。如协商不成，由甲方住所地人民法院管辖。</w:t>
      </w:r>
      <w:r/>
    </w:p>
    <w:p>
      <w:pPr>
        <w:ind w:firstLine="482"/>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b/>
          <w:color w:val="000000"/>
          <w:sz w:val="24"/>
          <w:szCs w:val="24"/>
          <w:highlight w:val="none"/>
          <w:lang w:val="en-US" w:eastAsia="zh-CN" w:bidi="ar-SA"/>
        </w:rPr>
        <w:t xml:space="preserve">十三、合同生效及其它</w:t>
      </w:r>
      <w:r/>
    </w:p>
    <w:p>
      <w:p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1.符合《政府采购法》第49条规定的，经双方协商，办理政府采购手续后，可签订补充合同，所签订的补充合同与本合同具有同等法律效力。</w:t>
      </w:r>
      <w:r/>
    </w:p>
    <w:p>
      <w:p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2.合同经双方法定代表人或授权委托代表人签字并加盖单位公章后生效。</w:t>
      </w:r>
      <w:r/>
    </w:p>
    <w:p>
      <w:pPr>
        <w:ind w:firstLine="480"/>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3.本合同未尽事宜，遵照《民法典》《政府采购法》有关条文执行。</w:t>
      </w:r>
      <w:r/>
    </w:p>
    <w:p>
      <w:pPr>
        <w:ind w:left="0" w:firstLine="480"/>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4.本合同正本一式伍份，具有同等法律效力，甲方、乙方各执贰份，代理机构壹份。</w:t>
      </w:r>
      <w:r/>
    </w:p>
    <w:p>
      <w:pPr>
        <w:ind w:left="480" w:hanging="480"/>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甲方：                                   乙方： </w:t>
      </w:r>
      <w:r/>
    </w:p>
    <w:p>
      <w:pPr>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地址：                                   地址： </w:t>
      </w:r>
      <w:r/>
    </w:p>
    <w:p>
      <w:pPr>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法定代表人或授权代表：                   法定代表人或授权代表：</w:t>
      </w:r>
      <w:r/>
    </w:p>
    <w:p>
      <w:pPr>
        <w:jc w:val="both"/>
        <w:keepLines w:val="0"/>
        <w:keepNext w:val="0"/>
        <w:pageBreakBefore w:val="0"/>
        <w:spacing w:before="120" w:beforeAutospacing="0" w:after="120" w:afterAutospacing="0" w:line="50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联系电话：                                联系电话：  </w:t>
      </w:r>
      <w:r/>
    </w:p>
    <w:p>
      <w:pPr>
        <w:pStyle w:val="645"/>
        <w:jc w:val="right"/>
        <w:keepLines w:val="0"/>
        <w:keepNext w:val="0"/>
        <w:pageBreakBefore w:val="0"/>
        <w:spacing w:before="120" w:beforeAutospacing="0" w:after="120" w:afterAutospacing="0" w:line="50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 签订日期：  年  月 日</w:t>
      </w:r>
      <w:r/>
    </w:p>
    <w:p>
      <w:pPr>
        <w:pStyle w:val="645"/>
        <w:jc w:val="center"/>
        <w:keepLines w:val="0"/>
        <w:keepNext w:val="0"/>
        <w:pageBreakBefore w:val="0"/>
        <w:spacing w:before="120" w:beforeAutospacing="0" w:after="120" w:afterAutospacing="0" w:line="500" w:lineRule="exact"/>
        <w:widowControl w:val="off"/>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5"/>
        <w:jc w:val="center"/>
        <w:keepLines w:val="0"/>
        <w:keepNext w:val="0"/>
        <w:pageBreakBefore w:val="0"/>
        <w:spacing w:before="120" w:beforeAutospacing="0" w:after="120" w:afterAutospacing="0" w:line="500" w:lineRule="exact"/>
        <w:widowControl w:val="off"/>
        <w:rPr>
          <w:highlight w:val="none"/>
        </w:rPr>
      </w:pPr>
      <w:r>
        <w:rPr>
          <w:rFonts w:hint="eastAsia" w:ascii="黑体" w:hAnsi="宋体" w:eastAsia="黑体" w:cs="黑体"/>
          <w:color w:val="000000"/>
          <w:sz w:val="44"/>
          <w:szCs w:val="44"/>
          <w:highlight w:val="none"/>
        </w:rPr>
        <w:t xml:space="preserve">第</w:t>
      </w:r>
      <w:bookmarkEnd w:id="174"/>
      <w:r>
        <w:rPr>
          <w:rFonts w:hint="eastAsia" w:ascii="黑体" w:hAnsi="宋体" w:eastAsia="黑体" w:cs="黑体"/>
          <w:color w:val="000000"/>
          <w:sz w:val="44"/>
          <w:szCs w:val="44"/>
          <w:highlight w:val="none"/>
        </w:rPr>
        <w:t xml:space="preserve">四章 采购需求</w:t>
      </w:r>
      <w:bookmarkEnd w:id="175"/>
      <w:r/>
      <w:bookmarkEnd w:id="176"/>
      <w:r/>
      <w:bookmarkEnd w:id="177"/>
      <w:r/>
      <w:bookmarkEnd w:id="178"/>
      <w:r/>
      <w:bookmarkEnd w:id="179"/>
      <w:r/>
      <w:r/>
    </w:p>
    <w:p>
      <w:pPr>
        <w:ind w:firstLine="480"/>
        <w:jc w:val="both"/>
        <w:spacing w:line="360" w:lineRule="auto"/>
        <w:rPr>
          <w:rFonts w:hint="eastAsia" w:ascii="宋体" w:hAnsi="宋体" w:eastAsia="宋体" w:cs="宋体"/>
          <w:sz w:val="24"/>
          <w:szCs w:val="24"/>
          <w:highlight w:val="none"/>
          <w:lang w:eastAsia="zh-CN"/>
        </w:rPr>
      </w:pPr>
      <w:r/>
      <w:bookmarkStart w:id="181" w:name="_Toc120614281"/>
      <w:r>
        <w:rPr>
          <w:rFonts w:hint="eastAsia" w:ascii="宋体" w:hAnsi="宋体" w:eastAsia="宋体" w:cs="宋体"/>
          <w:color w:val="000000"/>
          <w:sz w:val="24"/>
          <w:szCs w:val="24"/>
          <w:highlight w:val="none"/>
        </w:rPr>
        <w:t xml:space="preserve">项目属性:服务类项目</w:t>
      </w:r>
      <w:r>
        <w:rPr>
          <w:rFonts w:hint="eastAsia" w:ascii="宋体" w:hAnsi="宋体" w:eastAsia="宋体" w:cs="宋体"/>
          <w:color w:val="000000"/>
          <w:sz w:val="24"/>
          <w:szCs w:val="24"/>
          <w:highlight w:val="none"/>
          <w:lang w:eastAsia="zh-CN"/>
        </w:rPr>
        <w:t xml:space="preserve">。</w:t>
      </w:r>
      <w:r/>
    </w:p>
    <w:p>
      <w:pPr>
        <w:numPr>
          <w:ilvl w:val="0"/>
          <w:numId w:val="0"/>
        </w:numPr>
        <w:ind w:firstLine="482"/>
        <w:jc w:val="both"/>
        <w:keepLines w:val="0"/>
        <w:keepNext w:val="0"/>
        <w:pageBreakBefore w:val="0"/>
        <w:spacing w:line="52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一、项目背景</w:t>
      </w:r>
      <w:r/>
    </w:p>
    <w:p>
      <w:pPr>
        <w:numPr>
          <w:ilvl w:val="0"/>
          <w:numId w:val="0"/>
        </w:numPr>
        <w:ind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滨海港经济开发区于2025年4月11日批准设立，根据江苏省安全生产专项整治行动《经济开发区安全专项整治三年行动实施方案》等文件要求，应每5年组织开展一次对经济开发区的整体性安全风险评估，确定安全容量，实施总量控制，提出消除、降低、控制安全风险的对策措施。</w:t>
      </w:r>
      <w:r/>
    </w:p>
    <w:p>
      <w:pPr>
        <w:numPr>
          <w:ilvl w:val="0"/>
          <w:numId w:val="0"/>
        </w:numPr>
        <w:ind w:firstLine="480"/>
        <w:jc w:val="both"/>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为了贯彻落实《经济开发区安全专项整治三年行动实施方案》、《开发区整体性安全风险评估导则》（DB32/T 4586—2023）、《省级安全发展示范城市评价细则（2020国家级开发区版）》等文件要求，更好统筹发展和安全，</w:t>
      </w:r>
      <w:r>
        <w:rPr>
          <w:rFonts w:hint="default" w:ascii="宋体" w:hAnsi="宋体" w:eastAsia="宋体" w:cs="宋体"/>
          <w:color w:val="000000"/>
          <w:sz w:val="24"/>
          <w:szCs w:val="24"/>
          <w:highlight w:val="none"/>
          <w:lang w:val="en-US" w:eastAsia="zh-CN" w:bidi="ar-SA"/>
        </w:rPr>
        <w:t xml:space="preserve">建设完善以风险分级管控和隐患排查治理为重点的安全预防控制体系，</w:t>
      </w:r>
      <w:r>
        <w:rPr>
          <w:rFonts w:hint="eastAsia" w:ascii="宋体" w:hAnsi="宋体" w:eastAsia="宋体" w:cs="宋体"/>
          <w:color w:val="000000"/>
          <w:sz w:val="24"/>
          <w:szCs w:val="24"/>
          <w:highlight w:val="none"/>
          <w:lang w:val="en-US" w:eastAsia="zh-CN" w:bidi="ar-SA"/>
        </w:rPr>
        <w:t xml:space="preserve">扎实推进应急管理体系和能力现代</w:t>
      </w:r>
      <w:r>
        <w:rPr>
          <w:rFonts w:hint="default" w:ascii="宋体" w:hAnsi="宋体" w:eastAsia="宋体" w:cs="宋体"/>
          <w:color w:val="000000"/>
          <w:sz w:val="24"/>
          <w:szCs w:val="24"/>
          <w:highlight w:val="none"/>
          <w:lang w:val="en-US" w:eastAsia="zh-CN" w:bidi="ar-SA"/>
        </w:rPr>
        <w:t xml:space="preserve">化，着力提升本质安全水平</w:t>
      </w:r>
      <w:r>
        <w:rPr>
          <w:rFonts w:hint="eastAsia" w:ascii="宋体" w:hAnsi="宋体" w:eastAsia="宋体" w:cs="宋体"/>
          <w:color w:val="000000"/>
          <w:sz w:val="24"/>
          <w:szCs w:val="24"/>
          <w:highlight w:val="none"/>
          <w:lang w:val="en-US" w:eastAsia="zh-CN" w:bidi="ar-SA"/>
        </w:rPr>
        <w:t xml:space="preserve">，滨海港经济开发区管理委员会拟对滨海港经济开发区整体性安全风险评估报告进行编制。</w:t>
      </w:r>
      <w:r/>
    </w:p>
    <w:p>
      <w:pPr>
        <w:ind w:left="0" w:firstLine="482"/>
        <w:keepLines w:val="0"/>
        <w:pageBreakBefore w:val="0"/>
        <w:spacing w:beforeAutospacing="0" w:afterAutospacing="0" w:line="520" w:lineRule="exact"/>
        <w:rPr>
          <w:rFonts w:hint="default"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二、项目需求</w:t>
      </w:r>
      <w:r/>
    </w:p>
    <w:p>
      <w:pPr>
        <w:ind w:left="0" w:firstLine="480"/>
        <w:keepLines w:val="0"/>
        <w:pageBreakBefore w:val="0"/>
        <w:spacing w:beforeAutospacing="0" w:afterAutospacing="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本次采购项目主要内容如下：本项目评估单位需对滨海港经济开发区</w:t>
      </w:r>
      <w:r>
        <w:rPr>
          <w:rFonts w:hint="default" w:ascii="宋体" w:hAnsi="宋体" w:eastAsia="宋体" w:cs="宋体"/>
          <w:color w:val="000000"/>
          <w:sz w:val="24"/>
          <w:szCs w:val="24"/>
          <w:highlight w:val="none"/>
          <w:lang w:val="en-US" w:eastAsia="zh-CN" w:bidi="ar-SA"/>
        </w:rPr>
        <w:t xml:space="preserve">选址规划、总体布局、自然环境、</w:t>
      </w:r>
      <w:r>
        <w:rPr>
          <w:rFonts w:hint="eastAsia" w:ascii="宋体" w:hAnsi="宋体" w:eastAsia="宋体" w:cs="宋体"/>
          <w:color w:val="000000"/>
          <w:sz w:val="24"/>
          <w:szCs w:val="24"/>
          <w:highlight w:val="none"/>
          <w:lang w:val="en-US" w:eastAsia="zh-CN" w:bidi="ar-SA"/>
        </w:rPr>
        <w:t xml:space="preserve">工业企业、建设工程、公共基础设施、安全管理、应急管理等进行实地调查，掌握滨海港经济开发区各类基础信息，并在此基础上充分辨识现有或潜在的危险有害因素，进行定性、定量风险分析，确认安全风险的受控程度，为滨海港经济开发区安全生产和周边环境安全及风险防范提出控制风险、预防事故、降低事故损失及影响的对策措施。</w:t>
      </w:r>
      <w:r/>
    </w:p>
    <w:p>
      <w:pPr>
        <w:ind w:left="0" w:firstLine="482"/>
        <w:keepLines w:val="0"/>
        <w:pageBreakBefore w:val="0"/>
        <w:spacing w:beforeAutospacing="0" w:afterAutospacing="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三、履行期限及要求</w:t>
      </w:r>
      <w:r/>
    </w:p>
    <w:p>
      <w:pPr>
        <w:ind w:left="0" w:firstLine="480"/>
        <w:keepLines w:val="0"/>
        <w:pageBreakBefore w:val="0"/>
        <w:spacing w:beforeAutospacing="0" w:afterAutospacing="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（1）2026年6月30日前完成《滨海港经济</w:t>
      </w:r>
      <w:r>
        <w:rPr>
          <w:rFonts w:hint="eastAsia" w:ascii="宋体" w:hAnsi="宋体" w:eastAsia="宋体" w:cs="宋体"/>
          <w:color w:val="000000"/>
          <w:sz w:val="24"/>
          <w:szCs w:val="24"/>
          <w:highlight w:val="none"/>
          <w:lang w:val="en-US" w:eastAsia="zh-CN" w:bidi="ar-SA"/>
        </w:rPr>
        <w:t xml:space="preserve">开发区风险源调查分析报告》、《滨海港经济开发区风险源分级分类可视化标注报告》，并通过专家评审；2026年12月31日前依据《开发区整体性安全风险评估导则》（DB32/T 4586—2023）完成滨海港经济开发区整体性安全风险评估报告编制，并通过专家评审。</w:t>
      </w:r>
      <w:r/>
    </w:p>
    <w:p>
      <w:pPr>
        <w:ind w:left="0" w:firstLine="480"/>
        <w:keepLines w:val="0"/>
        <w:pageBreakBefore w:val="0"/>
        <w:spacing w:beforeAutospacing="0" w:afterAutospacing="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整体性安全风险评估报告编制完成后的四年内，如出现《开发区整体性安全风险评估导则》有调整或上级部门有新指导意见以及其他需要重新编制或调整评估报告的情形，中标供应商应根据招标人要求免费提供评估报告编制、修整等工作。</w:t>
      </w:r>
      <w:r/>
    </w:p>
    <w:p>
      <w:pPr>
        <w:ind w:left="0" w:firstLine="480"/>
        <w:keepLines w:val="0"/>
        <w:pageBreakBefore w:val="0"/>
        <w:spacing w:beforeAutospacing="0" w:afterAutospacing="0" w:line="52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（3）整体性安全风险评估报告编制完成后的四年内，如有涉及滨海港经济开发区整体风险评估报告相关检查工作需提供技术支持、解释工作时，应第一时间安排项目负责人或有关技术人员配合相关检查工作。</w:t>
      </w:r>
      <w:r/>
    </w:p>
    <w:p>
      <w:pPr>
        <w:ind w:firstLine="482"/>
        <w:pageBreakBefore w:val="0"/>
        <w:spacing w:line="52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四、评估服务及报告编制要求</w:t>
      </w:r>
      <w:r/>
    </w:p>
    <w:p>
      <w:pPr>
        <w:ind w:left="0"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滨海港经济开发区整体性安全风险评估技术要求：</w:t>
      </w:r>
      <w:r/>
    </w:p>
    <w:p>
      <w:pPr>
        <w:ind w:left="0"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前期准备工作应包括：明确评估对象和评估范围；组建评估组；明确评估目的和目标；制定计划进度；收集国内相关法律、法规、规章、标准、规范等；收集滨海港经济开发区的各类基础资料，实地勘查区域现状条件，准确记录勘查结果，真实掌握滨海港经济开发区内现有企业的实际情况和规划情况，编制各类调查表，准备相关技术文件。</w:t>
      </w:r>
      <w:r/>
    </w:p>
    <w:p>
      <w:pPr>
        <w:ind w:left="0"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2.现场调研和资料收集：对滨海港经济开发区</w:t>
      </w:r>
      <w:r>
        <w:rPr>
          <w:rFonts w:hint="eastAsia" w:ascii="宋体" w:hAnsi="宋体" w:eastAsia="宋体" w:cs="宋体"/>
          <w:color w:val="000000"/>
          <w:sz w:val="24"/>
          <w:szCs w:val="24"/>
          <w:highlight w:val="none"/>
          <w:lang w:val="en-US" w:eastAsia="zh-CN" w:bidi="ar-SA"/>
        </w:rPr>
        <w:t xml:space="preserve">内所有企业、在建工程项目、危险化学品企业、人员密集场所、公用工程和基础设施、应急救援装备与能力、“四至范围”、防护目标等进行实地踏勘，实地调查滨海港经济开发区的基础资料，收集整理滨海港经济开发区整体性安全风险评估所需资料，分析其适用性和全面性，必要时进行补充调研收集。了解滨海港经济开发区所在地自然条件、周边环境、防护目标、产业布局、危险化学品企业现状、重大危险源分布、危险化学品运输、非危险化学品企业和劳动密集型企业、公用工程和基础设施、安全管理和应急救援体制机制建设等情况。勘查期间应拍照、留取调研影响资料。</w:t>
      </w:r>
      <w:r/>
    </w:p>
    <w:p>
      <w:pPr>
        <w:ind w:left="0"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危险有害因素辨识分析和风险源信息可视化标注：在现场勘查的基础上，对滨海港经济开发区在建和拟建企业涉及的危险化学品、生产工艺、设备设施、作业活动过程中的涉及的风险源进行普查，辨识分析总体安全性。结合滨海港经济开发区的普查信息，利用地理信息系统等工具手段，对危化企业、粉尘涉爆企业、涉氨制冷企业、工贸涉危企业、人员密集型企业，以及辖区储罐、仓库、码头、管线等各类风险源的位置、危险等级等信息进行可视化标注。</w:t>
      </w:r>
      <w:r/>
    </w:p>
    <w:p>
      <w:pPr>
        <w:ind w:left="0"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4.评估单元的划分：结合滨海港经济开发区实际，划分评价单元，包括选址单元、布局单元、公用工程和基础设施安全保障单元、一体化安全管理及应急救援单元等。</w:t>
      </w:r>
      <w:r/>
    </w:p>
    <w:p>
      <w:pPr>
        <w:ind w:left="0"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5.评估方法选择：根据滨海港经济开发区实际，选择科学、合理、适用的定性、定量评估方法进行整体性评估与分析。不同的评估单元，可根据评估的需要和评估单元特征选择不同的评估方法。</w:t>
      </w:r>
      <w:r/>
    </w:p>
    <w:p>
      <w:pPr>
        <w:ind w:left="0"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定性、定量安全风险评估：整体性风险评估包括选址安全性评估、布局安全性评估、事故后果模拟、外部安全防护距离分析、危险化学品运输安全风险、多米诺效应分析、安全风险容量计算、产业合理性与安全性、安全保障能力、安全管理及应急救援能力等。</w:t>
      </w:r>
      <w:r/>
    </w:p>
    <w:p>
      <w:pPr>
        <w:ind w:left="0"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7.安全对策措施及建议：根据安全风险评估结果，对滨海港经济开发区的选址、规划布局、安全风险管控、公用工程和基础设施安全保障、安全管理和应急救援等方面提出安全对策措施。</w:t>
      </w:r>
      <w:r/>
    </w:p>
    <w:p>
      <w:pPr>
        <w:ind w:left="0"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8.评估结论：应概括安全评估结果，给出滨海港经济开发区在评估时的条件下与国家有关法律、法规、规章、标准、规范的符合性结论，给出滨海港经济开发区整体性安全风险结论，给出滨海港经济开发区公用工程和基础设施的安全保障能力结论，给出滨海港经济开发区安全管理和应急救援能力的结论等。</w:t>
      </w:r>
      <w:r/>
    </w:p>
    <w:p>
      <w:pPr>
        <w:ind w:left="0" w:firstLine="480"/>
        <w:jc w:val="left"/>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9.评估报告：滨海港经济开发区整体性安全风险评估报告是安全风险评估工作过程的具体体现，评估应坚持科学、客观、公正的原则，评估内容应包含但不限于本采购需求中规定内容，评估报告文字应简洁、准确，评估结论应清楚、明确。</w:t>
      </w:r>
      <w:r/>
    </w:p>
    <w:p>
      <w:pPr>
        <w:numPr>
          <w:ilvl w:val="0"/>
          <w:numId w:val="0"/>
        </w:numPr>
        <w:ind w:firstLine="482"/>
        <w:jc w:val="both"/>
        <w:pageBreakBefore w:val="0"/>
        <w:spacing w:line="52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五、服务成果及验收标准</w:t>
      </w:r>
      <w:r/>
    </w:p>
    <w:p>
      <w:pPr>
        <w:numPr>
          <w:ilvl w:val="0"/>
          <w:numId w:val="0"/>
        </w:numPr>
        <w:ind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1.提交《滨海港经济开发区风险源调查分析报告》；并通过专家评审。</w:t>
      </w:r>
      <w:r/>
    </w:p>
    <w:p>
      <w:pPr>
        <w:numPr>
          <w:ilvl w:val="0"/>
          <w:numId w:val="0"/>
        </w:numPr>
        <w:ind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2.提交《滨海港经济开发区风险源分级分类可视化标注报告》；并通过专家评审。</w:t>
      </w:r>
      <w:r/>
    </w:p>
    <w:p>
      <w:pPr>
        <w:numPr>
          <w:ilvl w:val="0"/>
          <w:numId w:val="0"/>
        </w:numPr>
        <w:ind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3.提交《滨海港经济开发区整体性安全风险评估报告》；并通过专家评审。</w:t>
      </w:r>
      <w:r/>
    </w:p>
    <w:p>
      <w:pPr>
        <w:numPr>
          <w:ilvl w:val="0"/>
          <w:numId w:val="0"/>
        </w:numPr>
        <w:ind w:firstLine="482"/>
        <w:jc w:val="both"/>
        <w:pageBreakBefore w:val="0"/>
        <w:spacing w:line="520" w:lineRule="exact"/>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六、相关文件依据</w:t>
      </w:r>
      <w:r/>
    </w:p>
    <w:p>
      <w:pPr>
        <w:numPr>
          <w:ilvl w:val="0"/>
          <w:numId w:val="0"/>
        </w:numPr>
        <w:ind w:lef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1.《经济开发区安全专项整治三年行动实施方案》（江苏省应急管理厅 2020-06-23）</w:t>
      </w:r>
      <w:r/>
    </w:p>
    <w:p>
      <w:pPr>
        <w:numPr>
          <w:ilvl w:val="0"/>
          <w:numId w:val="0"/>
        </w:numPr>
        <w:ind w:lef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2.《开发区整体性安全风险评估导则》（DB32/T 4586—2023）</w:t>
      </w:r>
      <w:r/>
    </w:p>
    <w:p>
      <w:pPr>
        <w:numPr>
          <w:ilvl w:val="0"/>
          <w:numId w:val="0"/>
        </w:numPr>
        <w:ind w:left="0" w:firstLine="480"/>
        <w:jc w:val="both"/>
        <w:pageBreakBefore w:val="0"/>
        <w:spacing w:line="520" w:lineRule="exact"/>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3.《省级安全发展示范城市评价细则（2020国家级开发区版）》</w:t>
      </w:r>
      <w:r/>
    </w:p>
    <w:p>
      <w:pPr>
        <w:numPr>
          <w:ilvl w:val="0"/>
          <w:numId w:val="0"/>
        </w:numPr>
        <w:jc w:val="both"/>
        <w:spacing w:line="360" w:lineRule="auto"/>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七、</w:t>
      </w:r>
      <w:r>
        <w:rPr>
          <w:rFonts w:hint="default" w:ascii="宋体" w:hAnsi="宋体" w:eastAsia="宋体" w:cs="宋体"/>
          <w:b/>
          <w:bCs/>
          <w:sz w:val="24"/>
          <w:szCs w:val="24"/>
          <w:highlight w:val="none"/>
          <w:lang w:val="en-US" w:eastAsia="zh-CN"/>
        </w:rPr>
        <w:t xml:space="preserve">采购标的对应的中小企业划分标准所属行业一览表</w:t>
      </w:r>
      <w:r/>
    </w:p>
    <w:tbl>
      <w:tblPr>
        <w:tblStyle w:val="638"/>
        <w:tblW w:w="789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3551"/>
        <w:gridCol w:w="4348"/>
      </w:tblGrid>
      <w:tr>
        <w:trPr>
          <w:jc w:val="center"/>
          <w:tblCellSpacing w:w="0" w:type="dxa"/>
          <w:trHeight w:val="766"/>
        </w:trPr>
        <w:tc>
          <w:tcPr>
            <w:shd w:val="clear" w:color="auto" w:fill="auto"/>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numPr>
                <w:ilvl w:val="0"/>
                <w:numId w:val="0"/>
              </w:numPr>
              <w:jc w:val="center"/>
              <w:spacing w:line="360" w:lineRule="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 xml:space="preserve">采购标的</w:t>
            </w:r>
            <w:r/>
          </w:p>
        </w:tc>
        <w:tc>
          <w:tcPr>
            <w:shd w:val="clear" w:color="auto" w:fill="auto"/>
            <w:tcBorders>
              <w:top w:val="single" w:color="auto" w:sz="4" w:space="0"/>
              <w:left w:val="single" w:color="auto" w:sz="4" w:space="0"/>
              <w:bottom w:val="single" w:color="auto" w:sz="4" w:space="0"/>
              <w:right w:val="single" w:color="auto" w:sz="4" w:space="0"/>
            </w:tcBorders>
            <w:tcW w:w="4348" w:type="dxa"/>
            <w:vAlign w:val="center"/>
            <w:textDirection w:val="lrTb"/>
            <w:noWrap w:val="false"/>
          </w:tcPr>
          <w:p>
            <w:pPr>
              <w:numPr>
                <w:ilvl w:val="0"/>
                <w:numId w:val="0"/>
              </w:numPr>
              <w:jc w:val="center"/>
              <w:spacing w:line="360" w:lineRule="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 xml:space="preserve">对应中小企业划分标准所属行业</w:t>
            </w:r>
            <w:r/>
          </w:p>
        </w:tc>
      </w:tr>
      <w:tr>
        <w:trPr>
          <w:jc w:val="center"/>
          <w:tblCellSpacing w:w="0" w:type="dxa"/>
          <w:trHeight w:val="766"/>
        </w:trPr>
        <w:tc>
          <w:tcPr>
            <w:shd w:val="clear" w:color="auto" w:fill="auto"/>
            <w:tcBorders>
              <w:top w:val="single" w:color="auto" w:sz="4" w:space="0"/>
              <w:left w:val="single" w:color="auto" w:sz="4" w:space="0"/>
              <w:bottom w:val="single" w:color="auto" w:sz="4" w:space="0"/>
              <w:right w:val="single" w:color="auto" w:sz="4" w:space="0"/>
            </w:tcBorders>
            <w:tcW w:w="3551" w:type="dxa"/>
            <w:vAlign w:val="center"/>
            <w:textDirection w:val="lrTb"/>
            <w:noWrap w:val="false"/>
          </w:tcPr>
          <w:p>
            <w:pPr>
              <w:numPr>
                <w:ilvl w:val="0"/>
                <w:numId w:val="0"/>
              </w:numPr>
              <w:jc w:val="center"/>
              <w:spacing w:line="360" w:lineRule="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 xml:space="preserve">安全</w:t>
            </w:r>
            <w:r>
              <w:rPr>
                <w:rFonts w:hint="eastAsia" w:ascii="宋体" w:hAnsi="宋体" w:eastAsia="宋体" w:cs="宋体"/>
                <w:b w:val="0"/>
                <w:bCs w:val="0"/>
                <w:sz w:val="24"/>
                <w:szCs w:val="24"/>
                <w:highlight w:val="none"/>
                <w:lang w:val="en-US" w:eastAsia="zh-CN"/>
              </w:rPr>
              <w:t xml:space="preserve">风险评估服务</w:t>
            </w:r>
            <w:r/>
          </w:p>
        </w:tc>
        <w:tc>
          <w:tcPr>
            <w:shd w:val="clear" w:color="auto" w:fill="auto"/>
            <w:tcBorders>
              <w:top w:val="single" w:color="auto" w:sz="4" w:space="0"/>
              <w:left w:val="single" w:color="auto" w:sz="4" w:space="0"/>
              <w:bottom w:val="single" w:color="auto" w:sz="4" w:space="0"/>
              <w:right w:val="single" w:color="auto" w:sz="4" w:space="0"/>
            </w:tcBorders>
            <w:tcW w:w="4348" w:type="dxa"/>
            <w:vAlign w:val="center"/>
            <w:textDirection w:val="lrTb"/>
            <w:noWrap w:val="false"/>
          </w:tcPr>
          <w:p>
            <w:pPr>
              <w:numPr>
                <w:ilvl w:val="0"/>
                <w:numId w:val="0"/>
              </w:numPr>
              <w:jc w:val="center"/>
              <w:spacing w:line="360" w:lineRule="auto"/>
              <w:rPr>
                <w:rFonts w:hint="default" w:ascii="宋体" w:hAnsi="宋体" w:eastAsia="宋体" w:cs="宋体"/>
                <w:b w:val="0"/>
                <w:bCs w:val="0"/>
                <w:sz w:val="24"/>
                <w:szCs w:val="24"/>
                <w:highlight w:val="none"/>
                <w:lang w:val="en-US" w:eastAsia="zh-CN"/>
              </w:rPr>
            </w:pPr>
            <w:r>
              <w:rPr>
                <w:rFonts w:hint="default" w:ascii="宋体" w:hAnsi="宋体" w:eastAsia="宋体" w:cs="宋体"/>
                <w:b w:val="0"/>
                <w:bCs w:val="0"/>
                <w:sz w:val="24"/>
                <w:szCs w:val="24"/>
                <w:highlight w:val="none"/>
                <w:lang w:val="en-US" w:eastAsia="zh-CN"/>
              </w:rPr>
              <w:t xml:space="preserve">其他未列明行业</w:t>
            </w:r>
            <w:r/>
          </w:p>
        </w:tc>
      </w:tr>
    </w:tbl>
    <w:p>
      <w:pPr>
        <w:numPr>
          <w:ilvl w:val="0"/>
          <w:numId w:val="0"/>
        </w:numPr>
        <w:jc w:val="both"/>
        <w:spacing w:line="360" w:lineRule="auto"/>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45"/>
        <w:jc w:val="center"/>
        <w:keepNext/>
        <w:spacing w:beforeAutospacing="0" w:afterAutospacing="0"/>
        <w:rPr>
          <w:highlight w:val="none"/>
        </w:rPr>
      </w:pPr>
      <w:r>
        <w:rPr>
          <w:rFonts w:hint="eastAsia" w:ascii="黑体" w:hAnsi="宋体" w:eastAsia="黑体" w:cs="黑体"/>
          <w:color w:val="000000"/>
          <w:sz w:val="44"/>
          <w:szCs w:val="44"/>
          <w:highlight w:val="none"/>
        </w:rPr>
        <w:t xml:space="preserve">第五章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 </w:t>
      </w:r>
      <w:r>
        <w:rPr>
          <w:rFonts w:hint="eastAsia" w:ascii="黑体" w:hAnsi="宋体" w:eastAsia="黑体" w:cs="黑体"/>
          <w:b/>
          <w:color w:val="000000"/>
          <w:sz w:val="44"/>
          <w:szCs w:val="44"/>
          <w:highlight w:val="none"/>
        </w:rPr>
        <w:t xml:space="preserve">评标方法与评标标准</w:t>
      </w:r>
      <w:r/>
    </w:p>
    <w:p>
      <w:pPr>
        <w:pStyle w:val="645"/>
        <w:jc w:val="both"/>
        <w:spacing w:beforeAutospacing="0" w:afterAutospacing="0"/>
        <w:rPr>
          <w:highlight w:val="none"/>
        </w:rPr>
      </w:pPr>
      <w:r>
        <w:rPr>
          <w:highlight w:val="none"/>
        </w:rPr>
      </w:r>
      <w:r/>
    </w:p>
    <w:p>
      <w:pPr>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一、定标原则</w:t>
      </w:r>
      <w:r/>
    </w:p>
    <w:p>
      <w:pPr>
        <w:ind w:firstLine="480"/>
        <w:spacing w:line="360" w:lineRule="auto"/>
        <w:rPr>
          <w:rFonts w:hint="eastAsia" w:ascii="宋体" w:hAnsi="宋体" w:eastAsia="宋体" w:cs="宋体"/>
          <w:color w:val="000000"/>
          <w:highlight w:val="none"/>
          <w:lang w:val="en-US" w:eastAsia="zh-CN"/>
        </w:rPr>
      </w:pPr>
      <w:r>
        <w:rPr>
          <w:rFonts w:hint="eastAsia" w:ascii="宋体" w:hAnsi="宋体" w:eastAsia="宋体" w:cs="宋体"/>
          <w:bCs/>
          <w:color w:val="000000"/>
          <w:sz w:val="24"/>
          <w:szCs w:val="24"/>
          <w:highlight w:val="none"/>
        </w:rPr>
        <w:t xml:space="preserve">本项目采用</w:t>
      </w:r>
      <w:r>
        <w:rPr>
          <w:rFonts w:hint="eastAsia" w:ascii="宋体" w:hAnsi="宋体" w:eastAsia="宋体" w:cs="宋体"/>
          <w:bCs/>
          <w:color w:val="000000"/>
          <w:sz w:val="24"/>
          <w:szCs w:val="24"/>
          <w:highlight w:val="none"/>
          <w:u w:val="single"/>
        </w:rPr>
        <w:t xml:space="preserve"> 综合评分 </w:t>
      </w:r>
      <w:r>
        <w:rPr>
          <w:rFonts w:hint="eastAsia" w:ascii="宋体" w:hAnsi="宋体" w:eastAsia="宋体" w:cs="宋体"/>
          <w:bCs/>
          <w:color w:val="000000"/>
          <w:sz w:val="24"/>
          <w:szCs w:val="24"/>
          <w:highlight w:val="none"/>
        </w:rPr>
        <w:t xml:space="preserve">法</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val="en-US" w:eastAsia="zh-CN"/>
        </w:rPr>
        <w:t xml:space="preserve">并列</w:t>
      </w:r>
      <w:r>
        <w:rPr>
          <w:rFonts w:hint="eastAsia" w:ascii="宋体" w:hAnsi="宋体" w:eastAsia="宋体" w:cs="宋体"/>
          <w:color w:val="000000"/>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645"/>
        <w:ind w:firstLine="441"/>
        <w:spacing w:before="120" w:beforeAutospacing="0" w:after="120" w:afterAutospacing="0" w:line="360" w:lineRule="auto"/>
        <w:rPr>
          <w:rFonts w:hint="eastAsia" w:ascii="宋体" w:hAnsi="宋体" w:eastAsia="宋体" w:cs="宋体"/>
          <w:highlight w:val="none"/>
        </w:rPr>
      </w:pPr>
      <w:r>
        <w:rPr>
          <w:rFonts w:hint="eastAsia" w:ascii="宋体" w:hAnsi="宋体" w:eastAsia="宋体" w:cs="宋体"/>
          <w:b/>
          <w:color w:val="000000"/>
          <w:highlight w:val="none"/>
        </w:rPr>
        <w:t xml:space="preserve">政府采购政策功能落实</w:t>
      </w:r>
      <w:r/>
    </w:p>
    <w:p>
      <w:pPr>
        <w:pStyle w:val="64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1、小微型企业价格扣除</w:t>
      </w:r>
      <w:r/>
    </w:p>
    <w:p>
      <w:pPr>
        <w:pStyle w:val="650"/>
        <w:ind w:firstLine="360"/>
        <w:rPr>
          <w:rFonts w:hint="eastAsia" w:ascii="宋体" w:hAnsi="宋体" w:eastAsia="宋体" w:cs="宋体"/>
          <w:highlight w:val="none"/>
        </w:rPr>
      </w:pPr>
      <w:r>
        <w:rPr>
          <w:rFonts w:hint="eastAsia" w:ascii="宋体" w:hAnsi="宋体" w:eastAsia="宋体" w:cs="宋体"/>
          <w:highlight w:val="none"/>
        </w:rPr>
        <w:t xml:space="preserve">（1）本项目若不专门面向中小企业采购，对</w:t>
      </w:r>
      <w:r>
        <w:rPr>
          <w:rFonts w:hint="eastAsia" w:ascii="宋体" w:hAnsi="宋体" w:eastAsia="宋体" w:cs="宋体"/>
          <w:highlight w:val="none"/>
          <w:lang w:val="en-US" w:eastAsia="zh-CN"/>
        </w:rPr>
        <w:t xml:space="preserve">符合规定的</w:t>
      </w:r>
      <w:r>
        <w:rPr>
          <w:rFonts w:hint="eastAsia" w:ascii="宋体" w:hAnsi="宋体" w:eastAsia="宋体" w:cs="宋体"/>
          <w:highlight w:val="none"/>
        </w:rPr>
        <w:t xml:space="preserve">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给予20%的扣除价格，用扣除后的价格参与评审；若专门面向中小企业采购，不再对小型和微型企业</w:t>
      </w:r>
      <w:r>
        <w:rPr>
          <w:rFonts w:hint="eastAsia" w:ascii="宋体" w:hAnsi="宋体" w:eastAsia="宋体" w:cs="宋体"/>
          <w:highlight w:val="none"/>
          <w:lang w:val="en-US" w:eastAsia="zh-CN"/>
        </w:rPr>
        <w:t xml:space="preserve">报价</w:t>
      </w:r>
      <w:r>
        <w:rPr>
          <w:rFonts w:hint="eastAsia" w:ascii="宋体" w:hAnsi="宋体" w:eastAsia="宋体" w:cs="宋体"/>
          <w:highlight w:val="none"/>
        </w:rPr>
        <w:t xml:space="preserve">给予价格扣除。</w:t>
      </w:r>
      <w:r/>
    </w:p>
    <w:p>
      <w:pPr>
        <w:pStyle w:val="645"/>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（2）供应商需按照采购文件的要求提供相应的《</w:t>
      </w:r>
      <w:r>
        <w:rPr>
          <w:rFonts w:hint="eastAsia" w:ascii="宋体" w:hAnsi="宋体" w:eastAsia="宋体" w:cs="宋体"/>
          <w:color w:val="auto"/>
          <w:highlight w:val="none"/>
          <w:lang w:val="en-US" w:eastAsia="zh-CN"/>
        </w:rPr>
        <w:t xml:space="preserve">中小</w:t>
      </w:r>
      <w:r>
        <w:rPr>
          <w:rFonts w:hint="eastAsia" w:ascii="宋体" w:hAnsi="宋体" w:eastAsia="宋体" w:cs="宋体"/>
          <w:color w:val="auto"/>
          <w:highlight w:val="none"/>
        </w:rPr>
        <w:t xml:space="preserve">企业声明函</w:t>
      </w:r>
      <w:r>
        <w:rPr>
          <w:rFonts w:hint="eastAsia" w:ascii="宋体" w:hAnsi="宋体" w:eastAsia="宋体" w:cs="宋体"/>
          <w:color w:val="000000"/>
          <w:highlight w:val="none"/>
        </w:rPr>
        <w:t xml:space="preserve">》。</w:t>
      </w:r>
      <w:r/>
    </w:p>
    <w:p>
      <w:pPr>
        <w:pStyle w:val="645"/>
        <w:ind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（3）企业标准请参照《关于印发中小企业划型标准规定的通知》（工信部联企业</w:t>
      </w:r>
      <w:r>
        <w:rPr>
          <w:rFonts w:hint="eastAsia" w:ascii="宋体" w:hAnsi="宋体" w:eastAsia="宋体" w:cs="宋体"/>
          <w:color w:val="000000"/>
          <w:highlight w:val="none"/>
          <w:lang w:eastAsia="zh-CN"/>
        </w:rPr>
        <w:t xml:space="preserve">〔2011〕300号</w:t>
      </w:r>
      <w:r>
        <w:rPr>
          <w:rFonts w:hint="eastAsia" w:ascii="宋体" w:hAnsi="宋体" w:eastAsia="宋体" w:cs="宋体"/>
          <w:color w:val="000000"/>
          <w:highlight w:val="none"/>
        </w:rPr>
        <w:t xml:space="preserve">）文件规定自行填写。</w:t>
      </w:r>
      <w:r/>
    </w:p>
    <w:p>
      <w:pPr>
        <w:pStyle w:val="64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2、残疾人福利单位价格扣除</w:t>
      </w:r>
      <w:r/>
    </w:p>
    <w:p>
      <w:pPr>
        <w:pStyle w:val="645"/>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（1）本项目对残疾人福利性单位视同小型、微型企业，给予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45"/>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（2）残疾人福利单位需按照采购文件的要求提供《残疾人福利性单位声明函》。</w:t>
      </w:r>
      <w:r/>
    </w:p>
    <w:p>
      <w:pPr>
        <w:pStyle w:val="645"/>
        <w:ind w:left="120" w:firstLine="36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（3）残疾人福利单位标准请参照《关于促进残疾人就业政府采购政策的通知》（财库〔2017〕141号）。</w:t>
      </w:r>
      <w:r/>
    </w:p>
    <w:p>
      <w:pPr>
        <w:pStyle w:val="64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3、监狱和戒毒企业价格扣除</w:t>
      </w:r>
      <w:r/>
    </w:p>
    <w:p>
      <w:pPr>
        <w:pStyle w:val="645"/>
        <w:ind w:left="120" w:firstLine="360"/>
        <w:spacing w:before="120" w:beforeAutospacing="0" w:after="120" w:afterAutospacing="0" w:line="0" w:lineRule="atLeas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（1）本项目对监狱和戒毒企业（简称监狱企业）视同小型、微型企业，给予</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pStyle w:val="64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64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（3）监狱企业标准请参照《关于政府采购支持监狱企业发展有关问题的通知》（财库</w:t>
      </w:r>
      <w:r>
        <w:rPr>
          <w:rFonts w:hint="eastAsia" w:ascii="宋体" w:hAnsi="宋体" w:eastAsia="宋体" w:cs="宋体"/>
          <w:color w:val="000000"/>
          <w:highlight w:val="none"/>
          <w:lang w:eastAsia="zh-CN"/>
        </w:rPr>
        <w:t xml:space="preserve">〔2014〕68号</w:t>
      </w:r>
      <w:r>
        <w:rPr>
          <w:rFonts w:hint="eastAsia" w:ascii="宋体" w:hAnsi="宋体" w:eastAsia="宋体" w:cs="宋体"/>
          <w:color w:val="000000"/>
          <w:highlight w:val="none"/>
        </w:rPr>
        <w:t xml:space="preserve">）。</w:t>
      </w:r>
      <w:r/>
    </w:p>
    <w:p>
      <w:pPr>
        <w:pStyle w:val="645"/>
        <w:ind w:firstLine="480"/>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color w:val="000000"/>
          <w:highlight w:val="none"/>
        </w:rPr>
        <w:t xml:space="preserve">4、残疾人福利单位、监狱企业属于小型、微型企业的，不重复享受政策。</w:t>
      </w:r>
      <w:r/>
    </w:p>
    <w:p>
      <w:pPr>
        <w:pStyle w:val="645"/>
        <w:ind w:firstLine="480"/>
        <w:spacing w:before="120" w:beforeAutospacing="0" w:after="120" w:afterAutospacing="0" w:line="0" w:lineRule="atLeast"/>
        <w:rPr>
          <w:rFonts w:hint="eastAsia" w:ascii="宋体" w:hAnsi="宋体" w:eastAsia="宋体" w:cs="宋体"/>
          <w:color w:val="000000"/>
          <w:highlight w:val="none"/>
        </w:rPr>
      </w:pPr>
      <w:r>
        <w:rPr>
          <w:rFonts w:hint="eastAsia" w:ascii="宋体" w:hAnsi="宋体" w:eastAsia="宋体" w:cs="宋体"/>
          <w:color w:val="000000"/>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000000"/>
          <w:highlight w:val="none"/>
          <w:u w:val="single"/>
        </w:rPr>
        <w:t xml:space="preserve">6%</w:t>
      </w:r>
      <w:r>
        <w:rPr>
          <w:rFonts w:hint="eastAsia" w:ascii="宋体" w:hAnsi="宋体" w:eastAsia="宋体" w:cs="宋体"/>
          <w:color w:val="000000"/>
          <w:highlight w:val="none"/>
        </w:rPr>
        <w:t xml:space="preserve">的价格扣除，用扣除后的价格参与评审。</w:t>
      </w:r>
      <w:r/>
    </w:p>
    <w:p>
      <w:pPr>
        <w:pStyle w:val="645"/>
        <w:ind w:left="120" w:firstLine="360"/>
        <w:spacing w:before="120" w:beforeAutospacing="0" w:after="120" w:afterAutospacing="0" w:line="0" w:lineRule="atLeast"/>
        <w:rPr>
          <w:rFonts w:hint="eastAsia" w:ascii="宋体" w:hAnsi="宋体" w:eastAsia="宋体" w:cs="宋体"/>
          <w:color w:val="000000"/>
          <w:highlight w:val="none"/>
          <w:u w:val="single"/>
          <w:lang w:eastAsia="zh-CN"/>
        </w:rPr>
      </w:pPr>
      <w:r>
        <w:rPr>
          <w:rFonts w:hint="eastAsia" w:ascii="宋体" w:hAnsi="宋体" w:eastAsia="宋体" w:cs="宋体"/>
          <w:color w:val="000000"/>
          <w:highlight w:val="none"/>
        </w:rPr>
        <w:t xml:space="preserve">6、联合体各方均为小型、微型企业（残疾人福利单位、监狱企业）的，联合体享受</w:t>
      </w:r>
      <w:r>
        <w:rPr>
          <w:rFonts w:hint="eastAsia" w:ascii="宋体" w:hAnsi="宋体" w:eastAsia="宋体" w:cs="宋体"/>
          <w:color w:val="000000"/>
          <w:highlight w:val="none"/>
          <w:u w:val="single"/>
        </w:rPr>
        <w:t xml:space="preserve">20%</w:t>
      </w:r>
      <w:r>
        <w:rPr>
          <w:rFonts w:hint="eastAsia" w:ascii="宋体" w:hAnsi="宋体" w:eastAsia="宋体" w:cs="宋体"/>
          <w:color w:val="000000"/>
          <w:highlight w:val="none"/>
          <w:u w:val="single"/>
          <w:lang w:eastAsia="zh-CN"/>
        </w:rPr>
        <w:t xml:space="preserve">的价格扣除。</w:t>
      </w:r>
      <w:r/>
    </w:p>
    <w:p>
      <w:pPr>
        <w:rPr>
          <w:rFonts w:hint="eastAsia" w:ascii="宋体" w:hAnsi="宋体" w:eastAsia="宋体" w:cs="宋体"/>
          <w:b/>
          <w:color w:val="000000"/>
          <w:highlight w:val="none"/>
          <w:lang w:val="en-US" w:eastAsia="zh-CN"/>
        </w:rPr>
      </w:pPr>
      <w:r>
        <w:rPr>
          <w:rFonts w:hint="eastAsia" w:ascii="宋体" w:hAnsi="宋体" w:eastAsia="宋体" w:cs="宋体"/>
          <w:color w:val="auto"/>
          <w:sz w:val="24"/>
          <w:highlight w:val="non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 w:val="24"/>
          <w:highlight w:val="none"/>
        </w:rPr>
        <w:t xml:space="preserve">如属政府强制采购产品未提供认证证书的或认证证书提供不全的将视为未实质性响应采购要求</w:t>
      </w:r>
      <w:r>
        <w:rPr>
          <w:rFonts w:hint="eastAsia" w:ascii="宋体" w:hAnsi="宋体" w:eastAsia="宋体" w:cs="宋体"/>
          <w:i/>
          <w:color w:val="auto"/>
          <w:sz w:val="24"/>
          <w:highlight w:val="none"/>
        </w:rPr>
        <w:t xml:space="preserve">。</w:t>
      </w:r>
      <w:r>
        <w:rPr>
          <w:rFonts w:hint="eastAsia" w:ascii="宋体" w:hAnsi="宋体" w:eastAsia="宋体" w:cs="宋体"/>
          <w:color w:val="auto"/>
          <w:sz w:val="24"/>
          <w:highlight w:val="none"/>
        </w:rPr>
        <w:t xml:space="preserve">其他条件相同情况下，应当优先采购节能产品、环境标志产品</w:t>
      </w:r>
      <w:r>
        <w:rPr>
          <w:rFonts w:hint="eastAsia" w:ascii="宋体" w:hAnsi="宋体" w:eastAsia="宋体" w:cs="宋体"/>
          <w:b/>
          <w:color w:val="000000"/>
          <w:highlight w:val="none"/>
          <w:lang w:val="en-US" w:eastAsia="zh-CN"/>
        </w:rPr>
        <w:br w:type="page" w:clear="all"/>
      </w:r>
      <w:r/>
    </w:p>
    <w:p>
      <w:pPr>
        <w:pStyle w:val="645"/>
        <w:ind w:firstLine="482"/>
        <w:spacing w:before="120" w:beforeAutospacing="0" w:after="120" w:afterAutospacing="0" w:line="0" w:lineRule="atLeast"/>
        <w:rPr>
          <w:rFonts w:hint="eastAsia" w:ascii="宋体" w:hAnsi="宋体" w:eastAsia="宋体" w:cs="宋体"/>
          <w:highlight w:val="none"/>
        </w:rPr>
      </w:pPr>
      <w:r>
        <w:rPr>
          <w:rFonts w:hint="eastAsia" w:ascii="宋体" w:hAnsi="宋体" w:eastAsia="宋体" w:cs="宋体"/>
          <w:b/>
          <w:color w:val="000000"/>
          <w:highlight w:val="none"/>
          <w:lang w:val="en-US" w:eastAsia="zh-CN"/>
        </w:rPr>
        <w:t xml:space="preserve">二、</w:t>
      </w:r>
      <w:r>
        <w:rPr>
          <w:rFonts w:hint="eastAsia" w:ascii="宋体" w:hAnsi="宋体" w:eastAsia="宋体" w:cs="宋体"/>
          <w:b/>
          <w:color w:val="000000"/>
          <w:highlight w:val="none"/>
        </w:rPr>
        <w:t xml:space="preserve">评标方法与评标标准</w:t>
      </w:r>
      <w:r/>
    </w:p>
    <w:p>
      <w:pPr>
        <w:ind w:firstLine="480"/>
        <w:spacing w:line="440" w:lineRule="exact"/>
        <w:rPr>
          <w:rFonts w:cs="Courier New"/>
          <w:bCs/>
          <w:color w:val="000000"/>
          <w:sz w:val="24"/>
          <w:szCs w:val="24"/>
        </w:rPr>
      </w:pPr>
      <w:r>
        <w:rPr>
          <w:rFonts w:cs="Courier New"/>
          <w:bCs/>
          <w:color w:val="000000"/>
          <w:sz w:val="24"/>
          <w:szCs w:val="24"/>
        </w:rPr>
        <w:t xml:space="preserve">本项目评分总分值为100分。</w:t>
      </w:r>
      <w:r/>
    </w:p>
    <w:tbl>
      <w:tblPr>
        <w:tblStyle w:val="638"/>
        <w:tblW w:w="9179"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3"/>
        <w:gridCol w:w="1099"/>
        <w:gridCol w:w="806"/>
        <w:gridCol w:w="5978"/>
        <w:gridCol w:w="783"/>
      </w:tblGrid>
      <w:tr>
        <w:trPr>
          <w:jc w:val="center"/>
          <w:trHeight w:val="295"/>
        </w:trPr>
        <w:tc>
          <w:tcPr>
            <w:tcW w:w="51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序号</w:t>
            </w:r>
            <w:r/>
          </w:p>
        </w:tc>
        <w:tc>
          <w:tcPr>
            <w:gridSpan w:val="2"/>
            <w:tcW w:w="1905" w:type="dxa"/>
            <w:vAlign w:val="center"/>
            <w:textDirection w:val="lrTb"/>
            <w:noWrap w:val="false"/>
          </w:tcPr>
          <w:p>
            <w:pPr>
              <w:jc w:val="center"/>
              <w:keepLines w:val="0"/>
              <w:keepNext w:val="0"/>
              <w:widowControl/>
              <w:rPr>
                <w:rFonts w:hint="default" w:ascii="宋体" w:hAnsi="宋体" w:eastAsia="宋体" w:cs="宋体"/>
                <w:b/>
                <w:bCs/>
                <w:i w:val="0"/>
                <w:iCs w:val="0"/>
                <w:color w:val="auto"/>
                <w:sz w:val="24"/>
                <w:szCs w:val="24"/>
                <w:u w:val="none"/>
                <w:lang w:val="en-US"/>
              </w:rPr>
              <w:suppressLineNumbers w:val="0"/>
            </w:pPr>
            <w:r>
              <w:rPr>
                <w:rFonts w:hint="eastAsia" w:ascii="宋体" w:hAnsi="宋体" w:eastAsia="宋体" w:cs="宋体"/>
                <w:b/>
                <w:bCs/>
                <w:i w:val="0"/>
                <w:iCs w:val="0"/>
                <w:color w:val="auto"/>
                <w:sz w:val="24"/>
                <w:szCs w:val="24"/>
                <w:u w:val="none"/>
                <w:lang w:val="en-US" w:eastAsia="zh-CN" w:bidi="ar"/>
              </w:rPr>
              <w:t xml:space="preserve">评审因素</w:t>
            </w:r>
            <w:r/>
          </w:p>
        </w:tc>
        <w:tc>
          <w:tcPr>
            <w:tcW w:w="5978"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评审评标</w:t>
            </w:r>
            <w:r/>
          </w:p>
        </w:tc>
        <w:tc>
          <w:tcPr>
            <w:tcW w:w="783" w:type="dxa"/>
            <w:vAlign w:val="center"/>
            <w:textDirection w:val="lrTb"/>
            <w:noWrap w:val="false"/>
          </w:tcPr>
          <w:p>
            <w:pPr>
              <w:jc w:val="center"/>
              <w:keepLines w:val="0"/>
              <w:keepNext w:val="0"/>
              <w:widowControl/>
              <w:rPr>
                <w:rFonts w:hint="eastAsia" w:ascii="宋体" w:hAnsi="宋体" w:eastAsia="宋体" w:cs="宋体"/>
                <w:b/>
                <w:bCs/>
                <w:i w:val="0"/>
                <w:iCs w:val="0"/>
                <w:color w:val="auto"/>
                <w:sz w:val="24"/>
                <w:szCs w:val="24"/>
                <w:u w:val="none"/>
              </w:rPr>
              <w:suppressLineNumbers w:val="0"/>
            </w:pPr>
            <w:r>
              <w:rPr>
                <w:rFonts w:hint="eastAsia" w:ascii="宋体" w:hAnsi="宋体" w:eastAsia="宋体" w:cs="宋体"/>
                <w:b/>
                <w:bCs/>
                <w:i w:val="0"/>
                <w:iCs w:val="0"/>
                <w:color w:val="auto"/>
                <w:sz w:val="24"/>
                <w:szCs w:val="24"/>
                <w:u w:val="none"/>
                <w:lang w:val="en-US" w:eastAsia="zh-CN" w:bidi="ar"/>
              </w:rPr>
              <w:t xml:space="preserve">分值</w:t>
            </w:r>
            <w:r/>
          </w:p>
        </w:tc>
      </w:tr>
      <w:tr>
        <w:trPr>
          <w:jc w:val="center"/>
          <w:trHeight w:val="2545"/>
        </w:trPr>
        <w:tc>
          <w:tcPr>
            <w:tcW w:w="51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w:t>
            </w:r>
            <w:r/>
          </w:p>
        </w:tc>
        <w:tc>
          <w:tcPr>
            <w:tcW w:w="1099"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价格分（10分）</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投标报价（10分）</w:t>
            </w:r>
            <w:r/>
          </w:p>
        </w:tc>
        <w:tc>
          <w:tcPr>
            <w:tcW w:w="597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1、评标总价是指通过资格审查、符合性检查且实质性响应招标文件要求，经修正后的总价。</w:t>
            </w:r>
            <w:r/>
          </w:p>
          <w:p>
            <w:pPr>
              <w:jc w:val="both"/>
              <w:keepLines w:val="0"/>
              <w:keepNext w:val="0"/>
              <w:widowControl/>
              <w:rPr>
                <w:rFonts w:hint="eastAsia" w:ascii="宋体" w:hAnsi="宋体" w:eastAsia="宋体" w:cs="宋体"/>
                <w:i w:val="0"/>
                <w:iCs w:val="0"/>
                <w:color w:val="auto"/>
                <w:sz w:val="24"/>
                <w:szCs w:val="24"/>
                <w:highlight w:val="none"/>
                <w:u w:val="none"/>
                <w:lang w:val="en-US" w:eastAsia="zh-CN"/>
              </w:rPr>
              <w:suppressLineNumbers w:val="0"/>
            </w:pPr>
            <w:r>
              <w:rPr>
                <w:rFonts w:hint="eastAsia" w:ascii="宋体" w:hAnsi="宋体" w:eastAsia="宋体" w:cs="宋体"/>
                <w:i w:val="0"/>
                <w:iCs w:val="0"/>
                <w:color w:val="auto"/>
                <w:sz w:val="24"/>
                <w:szCs w:val="24"/>
                <w:highlight w:val="none"/>
                <w:u w:val="none"/>
                <w:lang w:val="en-US" w:eastAsia="zh-CN"/>
              </w:rPr>
              <w:t xml:space="preserve">2、评标基准价=评标总价中的最低总价。</w:t>
            </w:r>
            <w:r/>
          </w:p>
          <w:p>
            <w:pPr>
              <w:jc w:val="both"/>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rPr>
              <w:t xml:space="preserve">3、当投标人的评标总价等于评标基准价的得10分，其他投标人的价格分按照下列公式计算：评标总价得分=（评标基准价/评标总价）×10分（计算结果保留2位小数，第三位四舍五入）。</w:t>
            </w:r>
            <w:r/>
          </w:p>
        </w:tc>
        <w:tc>
          <w:tcPr>
            <w:tcW w:w="78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w:t>
            </w:r>
            <w:r/>
          </w:p>
        </w:tc>
      </w:tr>
      <w:tr>
        <w:trPr>
          <w:jc w:val="center"/>
          <w:trHeight w:val="1688"/>
        </w:trPr>
        <w:tc>
          <w:tcPr>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w:t>
            </w:r>
            <w:r/>
          </w:p>
        </w:tc>
        <w:tc>
          <w:tcPr>
            <w:tcW w:w="109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服务方案</w:t>
            </w:r>
            <w:r>
              <w:rPr>
                <w:rFonts w:hint="eastAsia" w:ascii="宋体" w:hAnsi="宋体" w:eastAsia="宋体" w:cs="宋体"/>
                <w:i w:val="0"/>
                <w:iCs w:val="0"/>
                <w:color w:val="auto"/>
                <w:sz w:val="24"/>
                <w:szCs w:val="24"/>
                <w:u w:val="none"/>
                <w:lang w:val="en-US" w:eastAsia="zh-CN" w:bidi="ar"/>
              </w:rPr>
              <w:t xml:space="preserve">（68分）</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总体项目理解</w:t>
            </w:r>
            <w:r/>
          </w:p>
        </w:tc>
        <w:tc>
          <w:tcPr>
            <w:tcW w:w="597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评标委员会对投标供应商是否能正确理解本项目设立背景、业务需求及相关政策法规，对投标项目情况及相关政策法规熟悉程度，是否了解招标人的服务需求等方面进行综合评审。</w:t>
            </w:r>
            <w:r/>
          </w:p>
          <w:p>
            <w:pPr>
              <w:pStyle w:val="639"/>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1.方案详实、深刻，优于采购需求，得12分；</w:t>
            </w:r>
            <w:r/>
          </w:p>
          <w:p>
            <w:pPr>
              <w:pStyle w:val="639"/>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2.方案科学、合理，满足采购需求，得10分；</w:t>
            </w:r>
            <w:r/>
          </w:p>
          <w:p>
            <w:pPr>
              <w:pStyle w:val="639"/>
              <w:rPr>
                <w:rFonts w:hint="default"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3.方案完整、准确，基本满足采购需求，得8分。</w:t>
            </w:r>
            <w:r/>
          </w:p>
        </w:tc>
        <w:tc>
          <w:tcPr>
            <w:tcW w:w="78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r>
      <w:tr>
        <w:trPr>
          <w:jc w:val="center"/>
          <w:trHeight w:val="1594"/>
        </w:trPr>
        <w:tc>
          <w:tcPr>
            <w:tcW w:w="51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99"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工作计划</w:t>
            </w:r>
            <w:r/>
          </w:p>
        </w:tc>
        <w:tc>
          <w:tcPr>
            <w:tcW w:w="597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评标委员会对投标供应商的工作计划是否详尽，项目实施进度、时间点、关键节点等设置是否清晰准确、可实施性强，评标委员会进行综合评审。</w:t>
            </w:r>
            <w:r/>
          </w:p>
          <w:p>
            <w:pPr>
              <w:ind w:left="0" w:firstLine="240"/>
              <w:jc w:val="both"/>
              <w:spacing w:after="120"/>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1.方案科学、高效，优于采购需求，得12分；</w:t>
            </w:r>
            <w:r/>
          </w:p>
          <w:p>
            <w:pPr>
              <w:ind w:left="0" w:firstLine="240"/>
              <w:jc w:val="both"/>
              <w:spacing w:after="120"/>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2.方案合理、可行，满足采购需求，得10分；</w:t>
            </w:r>
            <w:r/>
          </w:p>
          <w:p>
            <w:pPr>
              <w:pStyle w:val="639"/>
              <w:rPr>
                <w:rFonts w:hint="eastAsia"/>
              </w:rPr>
            </w:pPr>
            <w:r>
              <w:rPr>
                <w:rFonts w:hint="eastAsia" w:ascii="宋体" w:hAnsi="宋体" w:eastAsia="宋体" w:cs="宋体"/>
                <w:i w:val="0"/>
                <w:iCs w:val="0"/>
                <w:color w:val="auto"/>
                <w:sz w:val="24"/>
                <w:szCs w:val="24"/>
                <w:u w:val="none"/>
                <w:lang w:val="en-US" w:eastAsia="zh-CN" w:bidi="ar"/>
              </w:rPr>
              <w:t xml:space="preserve">3.方案完整、准确，基本满足采购需求，得8分。</w:t>
            </w:r>
            <w:r/>
          </w:p>
        </w:tc>
        <w:tc>
          <w:tcPr>
            <w:tcW w:w="78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12</w:t>
            </w:r>
            <w:r/>
          </w:p>
        </w:tc>
      </w:tr>
      <w:tr>
        <w:trPr>
          <w:jc w:val="center"/>
          <w:trHeight w:val="1329"/>
        </w:trPr>
        <w:tc>
          <w:tcPr>
            <w:tcW w:w="51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99"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人员配备</w:t>
            </w:r>
            <w:r/>
          </w:p>
        </w:tc>
        <w:tc>
          <w:tcPr>
            <w:tcW w:w="597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评标委员会对投标供应商提供的项目组成员的人数、专业等方面配置的合理性、是否能够满足项目实际需求等方面进行综合评审。</w:t>
            </w:r>
            <w:r/>
          </w:p>
          <w:p>
            <w:pPr>
              <w:ind w:left="0" w:firstLine="240"/>
              <w:jc w:val="both"/>
              <w:spacing w:after="120"/>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1.方案科学、高效，优于采购需求，得11分；</w:t>
            </w:r>
            <w:r/>
          </w:p>
          <w:p>
            <w:pPr>
              <w:ind w:left="0" w:firstLine="240"/>
              <w:jc w:val="both"/>
              <w:spacing w:after="120"/>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2.方案合理、可行，满足采购需求，得9.5分；</w:t>
            </w:r>
            <w:r/>
          </w:p>
          <w:p>
            <w:pPr>
              <w:pStyle w:val="639"/>
              <w:rPr>
                <w:rFonts w:hint="eastAsia"/>
              </w:rPr>
            </w:pPr>
            <w:r>
              <w:rPr>
                <w:rFonts w:hint="eastAsia" w:ascii="宋体" w:hAnsi="宋体" w:eastAsia="宋体" w:cs="宋体"/>
                <w:i w:val="0"/>
                <w:iCs w:val="0"/>
                <w:color w:val="auto"/>
                <w:sz w:val="24"/>
                <w:szCs w:val="24"/>
                <w:u w:val="none"/>
                <w:lang w:val="en-US" w:eastAsia="zh-CN" w:bidi="ar"/>
              </w:rPr>
              <w:t xml:space="preserve">3.方案完整、准确，基本满足采购需求，得8分。</w:t>
            </w:r>
            <w:r/>
          </w:p>
        </w:tc>
        <w:tc>
          <w:tcPr>
            <w:tcW w:w="78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r>
      <w:tr>
        <w:trPr>
          <w:jc w:val="center"/>
          <w:trHeight w:val="1170"/>
        </w:trPr>
        <w:tc>
          <w:tcPr>
            <w:tcW w:w="51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99"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服务方案编制</w:t>
            </w:r>
            <w:r/>
          </w:p>
        </w:tc>
        <w:tc>
          <w:tcPr>
            <w:tcW w:w="597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评标委员会对投标供应商提供的服务方案是否切实可行、工作流程的合理性、是否结合本项目实际需求等方面进行综合评审。</w:t>
            </w:r>
            <w:r/>
          </w:p>
          <w:p>
            <w:pPr>
              <w:ind w:left="0" w:firstLine="240"/>
              <w:jc w:val="both"/>
              <w:spacing w:after="120"/>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1.方案科学、高效，优于采购需求，得11分；</w:t>
            </w:r>
            <w:r/>
          </w:p>
          <w:p>
            <w:pPr>
              <w:ind w:left="0" w:firstLine="240"/>
              <w:jc w:val="both"/>
              <w:spacing w:after="120"/>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2.方案合理、可行，满足采购需求，得9.5分；</w:t>
            </w:r>
            <w:r/>
          </w:p>
          <w:p>
            <w:pPr>
              <w:pStyle w:val="639"/>
              <w:rPr>
                <w:rFonts w:hint="eastAsia"/>
              </w:rPr>
            </w:pPr>
            <w:r>
              <w:rPr>
                <w:rFonts w:hint="eastAsia" w:ascii="宋体" w:hAnsi="宋体" w:eastAsia="宋体" w:cs="宋体"/>
                <w:i w:val="0"/>
                <w:iCs w:val="0"/>
                <w:color w:val="auto"/>
                <w:sz w:val="24"/>
                <w:szCs w:val="24"/>
                <w:u w:val="none"/>
                <w:lang w:val="en-US" w:eastAsia="zh-CN" w:bidi="ar"/>
              </w:rPr>
              <w:t xml:space="preserve">3.方案完整、准确，基本满足采购需求，得8分。</w:t>
            </w:r>
            <w:r/>
          </w:p>
        </w:tc>
        <w:tc>
          <w:tcPr>
            <w:tcW w:w="78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r>
      <w:tr>
        <w:trPr>
          <w:jc w:val="center"/>
          <w:trHeight w:val="1263"/>
        </w:trPr>
        <w:tc>
          <w:tcPr>
            <w:tcW w:w="51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99"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质量保证措施</w:t>
            </w:r>
            <w:r/>
          </w:p>
        </w:tc>
        <w:tc>
          <w:tcPr>
            <w:tcW w:w="597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评标委员会根据投标供应商针对本项目的成果质量保证措施是否科学严谨、切实可行进行综合评审。</w:t>
            </w:r>
            <w:r/>
          </w:p>
          <w:p>
            <w:pPr>
              <w:ind w:left="0" w:firstLine="240"/>
              <w:jc w:val="both"/>
              <w:spacing w:after="120"/>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1.方案科学、高效，优于采购需求，得11分；</w:t>
            </w:r>
            <w:r/>
          </w:p>
          <w:p>
            <w:pPr>
              <w:ind w:left="0" w:firstLine="240"/>
              <w:jc w:val="both"/>
              <w:spacing w:after="120"/>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2.方案合理、可行，满足采购需求，得9.5分；</w:t>
            </w:r>
            <w:r/>
          </w:p>
          <w:p>
            <w:pPr>
              <w:pStyle w:val="639"/>
              <w:rPr>
                <w:rFonts w:hint="eastAsia"/>
              </w:rPr>
            </w:pPr>
            <w:r>
              <w:rPr>
                <w:rFonts w:hint="eastAsia" w:ascii="宋体" w:hAnsi="宋体" w:eastAsia="宋体" w:cs="宋体"/>
                <w:i w:val="0"/>
                <w:iCs w:val="0"/>
                <w:color w:val="auto"/>
                <w:sz w:val="24"/>
                <w:szCs w:val="24"/>
                <w:u w:val="none"/>
                <w:lang w:val="en-US" w:eastAsia="zh-CN" w:bidi="ar"/>
              </w:rPr>
              <w:t xml:space="preserve">3.方案完整、准确，基本满足采购需求，得8分。</w:t>
            </w:r>
            <w:r/>
          </w:p>
        </w:tc>
        <w:tc>
          <w:tcPr>
            <w:tcW w:w="78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r>
      <w:tr>
        <w:trPr>
          <w:jc w:val="center"/>
          <w:trHeight w:val="1151"/>
        </w:trPr>
        <w:tc>
          <w:tcPr>
            <w:tcW w:w="51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99"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技术方案整体编制相对评价</w:t>
            </w:r>
            <w:r/>
          </w:p>
        </w:tc>
        <w:tc>
          <w:tcPr>
            <w:tcW w:w="597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评标委员会根据投标供应商针对本项目编制的技术方案是否科学严谨、合理等方面进行综合评审。</w:t>
            </w:r>
            <w:r/>
          </w:p>
          <w:p>
            <w:pPr>
              <w:ind w:left="0" w:firstLine="240"/>
              <w:jc w:val="both"/>
              <w:spacing w:after="120"/>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1.方案科学、高效，优于采购需求，得11分；</w:t>
            </w:r>
            <w:r/>
          </w:p>
          <w:p>
            <w:pPr>
              <w:ind w:left="0" w:firstLine="240"/>
              <w:jc w:val="both"/>
              <w:spacing w:after="120"/>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2.方案合理、可行，满足采购需求，得9.5分；</w:t>
            </w:r>
            <w:r/>
          </w:p>
          <w:p>
            <w:pPr>
              <w:pStyle w:val="639"/>
              <w:rPr>
                <w:rFonts w:hint="eastAsia"/>
              </w:rPr>
            </w:pPr>
            <w:r>
              <w:rPr>
                <w:rFonts w:hint="eastAsia" w:ascii="宋体" w:hAnsi="宋体" w:eastAsia="宋体" w:cs="宋体"/>
                <w:i w:val="0"/>
                <w:iCs w:val="0"/>
                <w:color w:val="auto"/>
                <w:sz w:val="24"/>
                <w:szCs w:val="24"/>
                <w:u w:val="none"/>
                <w:lang w:val="en-US" w:eastAsia="zh-CN" w:bidi="ar"/>
              </w:rPr>
              <w:t xml:space="preserve">3.方案完整、准确，基本满足采购需求，得8分。</w:t>
            </w:r>
            <w:r/>
          </w:p>
        </w:tc>
        <w:tc>
          <w:tcPr>
            <w:tcW w:w="78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11</w:t>
            </w:r>
            <w:r/>
          </w:p>
        </w:tc>
      </w:tr>
      <w:tr>
        <w:trPr>
          <w:jc w:val="center"/>
          <w:trHeight w:val="1126"/>
        </w:trPr>
        <w:tc>
          <w:tcPr>
            <w:tcW w:w="51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3</w:t>
            </w:r>
            <w:r/>
          </w:p>
        </w:tc>
        <w:tc>
          <w:tcPr>
            <w:tcW w:w="1099" w:type="dxa"/>
            <w:vAlign w:val="center"/>
            <w:vMerge w:val="restart"/>
            <w:textDirection w:val="lrTb"/>
            <w:noWrap w:val="false"/>
          </w:tcPr>
          <w:p>
            <w:pPr>
              <w:jc w:val="center"/>
              <w:keepLines w:val="0"/>
              <w:keepNext w:val="0"/>
              <w:widowControl/>
              <w:rPr>
                <w:rFonts w:hint="default"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highlight w:val="none"/>
                <w:u w:val="none"/>
                <w:lang w:val="en-US" w:eastAsia="zh-CN" w:bidi="ar"/>
              </w:rPr>
              <w:t xml:space="preserve">项目团队</w:t>
            </w:r>
            <w:r>
              <w:rPr>
                <w:rFonts w:hint="eastAsia" w:ascii="宋体" w:hAnsi="宋体" w:eastAsia="宋体" w:cs="宋体"/>
                <w:i w:val="0"/>
                <w:iCs w:val="0"/>
                <w:color w:val="auto"/>
                <w:sz w:val="24"/>
                <w:szCs w:val="24"/>
                <w:u w:val="none"/>
                <w:lang w:val="en-US" w:eastAsia="zh-CN" w:bidi="ar"/>
              </w:rPr>
              <w:t xml:space="preserve">（14分）</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项目负责人</w:t>
            </w:r>
            <w:r/>
          </w:p>
        </w:tc>
        <w:tc>
          <w:tcPr>
            <w:tcW w:w="5978" w:type="dxa"/>
            <w:vAlign w:val="center"/>
            <w:textDirection w:val="lrTb"/>
            <w:noWrap w:val="false"/>
          </w:tcPr>
          <w:p>
            <w:pPr>
              <w:jc w:val="both"/>
              <w:keepLines w:val="0"/>
              <w:keepNext w:val="0"/>
              <w:widowControl/>
              <w:rPr>
                <w:rFonts w:hint="default"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投标供应商拟派项目负责人具备副高级及以上职称的，得3分；中级职称的，得2分。投标供应商拟派项目负责人曾获省部级及以上安全生产相关科技奖的，得2分。本项最高得5分。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注：本项须提供相关证书和获奖证明材料扫描件，未提供不得分。</w:t>
            </w:r>
            <w:r/>
          </w:p>
        </w:tc>
        <w:tc>
          <w:tcPr>
            <w:tcW w:w="783" w:type="dxa"/>
            <w:vAlign w:val="center"/>
            <w:textDirection w:val="lrTb"/>
            <w:noWrap/>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r>
      <w:tr>
        <w:trPr>
          <w:jc w:val="center"/>
          <w:trHeight w:val="1992"/>
        </w:trPr>
        <w:tc>
          <w:tcPr>
            <w:tcW w:w="51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99"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806"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项目组成员</w:t>
            </w:r>
            <w:r/>
          </w:p>
        </w:tc>
        <w:tc>
          <w:tcPr>
            <w:tcW w:w="59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eastAsia="zh-CN" w:bidi="ar"/>
              </w:rPr>
              <w:suppressLineNumbers w:val="0"/>
            </w:pPr>
            <w:r>
              <w:rPr>
                <w:rFonts w:hint="eastAsia" w:ascii="宋体" w:hAnsi="宋体" w:eastAsia="宋体" w:cs="宋体"/>
                <w:i w:val="0"/>
                <w:iCs w:val="0"/>
                <w:color w:val="auto"/>
                <w:sz w:val="24"/>
                <w:szCs w:val="24"/>
                <w:u w:val="none"/>
                <w:lang w:val="en-US" w:eastAsia="zh-CN" w:bidi="ar"/>
              </w:rPr>
              <w:t xml:space="preserve">1、投标供应商拟派项目组成员（除项目负责人外）具有化工、电气、自动化、暖通、储运、消防、机械、安全、环保相关领域的副高级及以上职称或省级安全专家的，每有一个得1分，本项最高得5分。</w:t>
            </w:r>
            <w:r/>
          </w:p>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注：①本项须提供证书扫描件或网上公示截图，未提供不得分。②同一人员不累计计分。</w:t>
            </w:r>
            <w:r/>
          </w:p>
        </w:tc>
        <w:tc>
          <w:tcPr>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5</w:t>
            </w:r>
            <w:r/>
          </w:p>
        </w:tc>
      </w:tr>
      <w:tr>
        <w:trPr>
          <w:jc w:val="center"/>
          <w:trHeight w:val="1417"/>
        </w:trPr>
        <w:tc>
          <w:tcPr>
            <w:tcW w:w="51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99"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806"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59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2、投标供应商拟派项目组成员（除项目负责人外）具有一级安全评价师的，每有一个得1分，最高得4分。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注：本项须提供证书扫描件或网上公示截图，未提供不得分。</w:t>
            </w:r>
            <w:r/>
          </w:p>
        </w:tc>
        <w:tc>
          <w:tcPr>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r>
      <w:tr>
        <w:trPr>
          <w:jc w:val="center"/>
          <w:trHeight w:val="866"/>
        </w:trPr>
        <w:tc>
          <w:tcPr>
            <w:tcW w:w="513" w:type="dxa"/>
            <w:vAlign w:val="center"/>
            <w:vMerge w:val="restart"/>
            <w:textDirection w:val="lrTb"/>
            <w:noWrap w:val="false"/>
          </w:tcPr>
          <w:p>
            <w:pPr>
              <w:jc w:val="center"/>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4</w:t>
            </w:r>
            <w:r/>
          </w:p>
        </w:tc>
        <w:tc>
          <w:tcPr>
            <w:tcW w:w="1099" w:type="dxa"/>
            <w:vAlign w:val="center"/>
            <w:vMerge w:val="restart"/>
            <w:textDirection w:val="lrTb"/>
            <w:noWrap w:val="false"/>
          </w:tcPr>
          <w:p>
            <w:pPr>
              <w:jc w:val="center"/>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企业实力（8分）</w:t>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服务能力</w:t>
            </w:r>
            <w:r/>
          </w:p>
        </w:tc>
        <w:tc>
          <w:tcPr>
            <w:tcW w:w="5978"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投标供应商拥有风险评估相关软件著作权或参与编制安全标准的，每有一项得1分，最高得4分。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注：本项须提供相关证书扫描件或安全标准截图，未提供不得分。</w:t>
            </w:r>
            <w:r/>
          </w:p>
        </w:tc>
        <w:tc>
          <w:tcPr>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r>
      <w:tr>
        <w:trPr>
          <w:jc w:val="center"/>
          <w:trHeight w:val="1435"/>
        </w:trPr>
        <w:tc>
          <w:tcPr>
            <w:tcW w:w="513"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1099" w:type="dxa"/>
            <w:vAlign w:val="center"/>
            <w:vMerge w:val="continue"/>
            <w:textDirection w:val="lrTb"/>
            <w:noWrap w:val="false"/>
          </w:tcPr>
          <w:p>
            <w:pPr>
              <w:jc w:val="center"/>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rPr>
            </w:r>
            <w:r/>
          </w:p>
        </w:tc>
        <w:tc>
          <w:tcPr>
            <w:tcW w:w="80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业绩</w:t>
            </w:r>
            <w:r/>
          </w:p>
        </w:tc>
        <w:tc>
          <w:tcPr>
            <w:tcW w:w="5978" w:type="dxa"/>
            <w:vAlign w:val="center"/>
            <w:textDirection w:val="lrTb"/>
            <w:noWrap w:val="false"/>
          </w:tcPr>
          <w:p>
            <w:pPr>
              <w:jc w:val="both"/>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投标供应商承担过类似安全风险评估服务</w:t>
            </w:r>
            <w:r>
              <w:rPr>
                <w:rFonts w:hint="eastAsia" w:ascii="宋体" w:hAnsi="宋体" w:eastAsia="宋体" w:cs="宋体"/>
                <w:i w:val="0"/>
                <w:iCs w:val="0"/>
                <w:color w:val="auto"/>
                <w:sz w:val="24"/>
                <w:szCs w:val="24"/>
                <w:highlight w:val="none"/>
                <w:u w:val="none"/>
                <w:lang w:val="en-US" w:eastAsia="zh-CN" w:bidi="ar"/>
              </w:rPr>
              <w:t xml:space="preserve">业绩</w:t>
            </w:r>
            <w:r>
              <w:rPr>
                <w:rFonts w:hint="eastAsia" w:ascii="宋体" w:hAnsi="宋体" w:eastAsia="宋体" w:cs="宋体"/>
                <w:i w:val="0"/>
                <w:iCs w:val="0"/>
                <w:color w:val="auto"/>
                <w:sz w:val="24"/>
                <w:szCs w:val="24"/>
                <w:u w:val="none"/>
                <w:lang w:val="en-US" w:eastAsia="zh-CN" w:bidi="ar"/>
              </w:rPr>
              <w:t xml:space="preserve">的，每有一项得2分，本项最高得4分。</w:t>
            </w:r>
            <w:r>
              <w:rPr>
                <w:rFonts w:hint="eastAsia" w:ascii="宋体" w:hAnsi="宋体" w:eastAsia="宋体" w:cs="宋体"/>
                <w:i w:val="0"/>
                <w:iCs w:val="0"/>
                <w:color w:val="auto"/>
                <w:sz w:val="24"/>
                <w:szCs w:val="24"/>
                <w:u w:val="none"/>
                <w:lang w:val="en-US" w:eastAsia="zh-CN" w:bidi="ar"/>
              </w:rPr>
              <w:br/>
            </w:r>
            <w:r>
              <w:rPr>
                <w:rFonts w:hint="eastAsia" w:ascii="宋体" w:hAnsi="宋体" w:eastAsia="宋体" w:cs="宋体"/>
                <w:i w:val="0"/>
                <w:iCs w:val="0"/>
                <w:color w:val="auto"/>
                <w:sz w:val="24"/>
                <w:szCs w:val="24"/>
                <w:u w:val="none"/>
                <w:lang w:val="en-US" w:eastAsia="zh-CN" w:bidi="ar"/>
              </w:rPr>
              <w:t xml:space="preserve">注：本项须提供业绩合同扫描件，未提供不得分。</w:t>
            </w:r>
            <w:r/>
          </w:p>
        </w:tc>
        <w:tc>
          <w:tcPr>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4</w:t>
            </w:r>
            <w:r/>
          </w:p>
        </w:tc>
      </w:tr>
      <w:tr>
        <w:trPr>
          <w:jc w:val="center"/>
          <w:trHeight w:val="526"/>
        </w:trPr>
        <w:tc>
          <w:tcPr>
            <w:gridSpan w:val="4"/>
            <w:tcW w:w="8396"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合计</w:t>
            </w:r>
            <w:r/>
          </w:p>
        </w:tc>
        <w:tc>
          <w:tcPr>
            <w:tcW w:w="783"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u w:val="none"/>
              </w:rPr>
              <w:suppressLineNumbers w:val="0"/>
            </w:pPr>
            <w:r>
              <w:rPr>
                <w:rFonts w:hint="eastAsia" w:ascii="宋体" w:hAnsi="宋体" w:eastAsia="宋体" w:cs="宋体"/>
                <w:i w:val="0"/>
                <w:iCs w:val="0"/>
                <w:color w:val="auto"/>
                <w:sz w:val="24"/>
                <w:szCs w:val="24"/>
                <w:u w:val="none"/>
                <w:lang w:val="en-US" w:eastAsia="zh-CN" w:bidi="ar"/>
              </w:rPr>
              <w:t xml:space="preserve">100</w:t>
            </w:r>
            <w:r/>
          </w:p>
        </w:tc>
      </w:tr>
      <w:tr>
        <w:trPr>
          <w:jc w:val="center"/>
          <w:trHeight w:val="4137"/>
        </w:trPr>
        <w:tc>
          <w:tcPr>
            <w:gridSpan w:val="5"/>
            <w:tcW w:w="9179" w:type="dxa"/>
            <w:vAlign w:val="center"/>
            <w:textDirection w:val="lrTb"/>
            <w:noWrap w:val="false"/>
          </w:tcPr>
          <w:p>
            <w:pPr>
              <w:jc w:val="left"/>
              <w:keepLines w:val="0"/>
              <w:keepNext w:val="0"/>
              <w:widowControl/>
              <w:rPr>
                <w:rFonts w:hint="eastAsia" w:ascii="宋体" w:hAnsi="宋体" w:eastAsia="宋体" w:cs="宋体"/>
                <w:i w:val="0"/>
                <w:iCs w:val="0"/>
                <w:color w:val="auto"/>
                <w:sz w:val="24"/>
                <w:szCs w:val="24"/>
                <w:u w:val="none"/>
                <w:lang w:val="en-US"/>
              </w:rPr>
              <w:suppressLineNumbers w:val="0"/>
            </w:pPr>
            <w:r>
              <w:rPr>
                <w:rFonts w:hint="eastAsia" w:ascii="宋体" w:hAnsi="宋体" w:eastAsia="宋体" w:cs="宋体"/>
                <w:i w:val="0"/>
                <w:iCs w:val="0"/>
                <w:color w:val="auto"/>
                <w:sz w:val="24"/>
                <w:szCs w:val="24"/>
                <w:u w:val="none"/>
                <w:lang w:val="en-US" w:eastAsia="zh-CN" w:bidi="ar"/>
              </w:rPr>
              <w:t xml:space="preserve">注：①以上证书材料均应在有效期范围，且发证机关网站未公布为暂停（或无效）状态方可有效。②上述提及的扫描件或网络打印件材料均须加盖投标供应商公章。③上述评分办法中主观分部分均以0.1分为一个计分点。④技术方案、服务方案等方案未提供的不得分，或经评标委员会认定内容极差严重偏离采购需求的也不得分。⑤评标时，评标委员会专家仅依据投标供应商在投标时提供的材</w:t>
            </w:r>
            <w:r>
              <w:rPr>
                <w:rFonts w:hint="eastAsia" w:ascii="宋体" w:hAnsi="宋体" w:eastAsia="宋体" w:cs="宋体"/>
                <w:i w:val="0"/>
                <w:iCs w:val="0"/>
                <w:color w:val="auto"/>
                <w:sz w:val="24"/>
                <w:szCs w:val="24"/>
                <w:u w:val="none"/>
                <w:lang w:val="en-US" w:eastAsia="zh-CN" w:bidi="ar"/>
              </w:rPr>
              <w:t xml:space="preserve">料评审，投标供应商未提供在投标文件中的材料不作为评审依据，投标供应商须根据《采购文件》（招标文件）的评审要求完整、齐全、详尽的准备投标材料供评标专家评审，因投标供应商提供的材料不完整、不齐全、未详尽造成的后果由投标供应商自负。除评标委员会认为可以或应当或要求投标供应商限期补充或澄清的材料外，评标专家有权不再接受投标供应商在投标文件递交截止时间后主动递交的任何补充材料。⑥如有未详尽部分，详见《采购文件》（招标文件）。⑦本表中要求加盖公章的部分均可加盖投标供应商系统内电子签章，要求提供复印件的均可使用扫描件。 </w:t>
            </w:r>
            <w:r/>
          </w:p>
        </w:tc>
      </w:tr>
    </w:tbl>
    <w:p>
      <w:pPr>
        <w:pStyle w:val="639"/>
        <w:rPr>
          <w:rFonts w:hint="eastAsia"/>
        </w:rPr>
      </w:pPr>
      <w:r>
        <w:rPr>
          <w:rFonts w:hint="eastAsia"/>
        </w:rPr>
      </w:r>
      <w:r/>
    </w:p>
    <w:p>
      <w:pPr>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br w:type="page" w:clear="all"/>
      </w:r>
      <w:r/>
    </w:p>
    <w:p>
      <w:pPr>
        <w:pStyle w:val="64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t xml:space="preserve">第六章</w:t>
      </w:r>
      <w:r>
        <w:rPr>
          <w:rFonts w:hint="eastAsia" w:ascii="黑体" w:hAnsi="宋体" w:eastAsia="黑体" w:cs="黑体"/>
          <w:color w:val="000000"/>
          <w:sz w:val="44"/>
          <w:szCs w:val="44"/>
          <w:highlight w:val="none"/>
          <w:lang w:val="en-US" w:eastAsia="zh-CN"/>
        </w:rPr>
        <w:t xml:space="preserve"> </w:t>
      </w:r>
      <w:r>
        <w:rPr>
          <w:rFonts w:hint="eastAsia" w:ascii="黑体" w:hAnsi="宋体" w:eastAsia="黑体" w:cs="黑体"/>
          <w:color w:val="000000"/>
          <w:sz w:val="44"/>
          <w:szCs w:val="44"/>
          <w:highlight w:val="none"/>
        </w:rPr>
        <w:t xml:space="preserve"> 投标文件格式 </w:t>
      </w:r>
      <w:r/>
    </w:p>
    <w:p>
      <w:pPr>
        <w:pStyle w:val="64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5"/>
        <w:jc w:val="center"/>
        <w:keepNext/>
        <w:spacing w:beforeAutospacing="0" w:afterAutospacing="0"/>
        <w:rPr>
          <w:rFonts w:hint="eastAsia" w:ascii="黑体" w:hAnsi="宋体" w:eastAsia="黑体" w:cs="黑体"/>
          <w:color w:val="000000"/>
          <w:sz w:val="44"/>
          <w:szCs w:val="44"/>
          <w:highlight w:val="none"/>
        </w:rPr>
      </w:pPr>
      <w:r>
        <w:rPr>
          <w:rFonts w:hint="eastAsia" w:ascii="黑体" w:hAnsi="宋体" w:eastAsia="黑体" w:cs="黑体"/>
          <w:color w:val="000000"/>
          <w:sz w:val="44"/>
          <w:szCs w:val="44"/>
          <w:highlight w:val="none"/>
        </w:rPr>
      </w:r>
      <w:r/>
    </w:p>
    <w:p>
      <w:pPr>
        <w:pStyle w:val="645"/>
        <w:jc w:val="center"/>
        <w:spacing w:beforeAutospacing="0" w:afterAutospacing="0"/>
        <w:rPr>
          <w:highlight w:val="none"/>
        </w:rPr>
      </w:pPr>
      <w:r/>
      <w:bookmarkStart w:id="182" w:name="_Hlt26955039"/>
      <w:r/>
      <w:bookmarkEnd w:id="182"/>
      <w:r/>
      <w:bookmarkStart w:id="183" w:name="_Toc26554094"/>
      <w:r/>
      <w:bookmarkEnd w:id="183"/>
      <w:r/>
      <w:bookmarkStart w:id="184" w:name="_Hlt26671244"/>
      <w:r/>
      <w:bookmarkEnd w:id="184"/>
      <w:r/>
      <w:bookmarkStart w:id="185" w:name="_Toc120614282"/>
      <w:r/>
      <w:bookmarkStart w:id="186" w:name="_Toc49090576"/>
      <w:r>
        <w:rPr>
          <w:rFonts w:hint="eastAsia" w:ascii="宋体" w:hAnsi="宋体" w:eastAsia="宋体" w:cs="宋体"/>
          <w:b/>
          <w:color w:val="000000"/>
          <w:sz w:val="72"/>
          <w:szCs w:val="72"/>
          <w:highlight w:val="none"/>
        </w:rPr>
        <w:t xml:space="preserve">投 标 文 件</w:t>
      </w:r>
      <w:r/>
    </w:p>
    <w:p>
      <w:pPr>
        <w:pStyle w:val="64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名 称：</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p>
    <w:p>
      <w:pPr>
        <w:pStyle w:val="64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项目 编 号：</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p>
    <w:p>
      <w:pPr>
        <w:pStyle w:val="645"/>
        <w:jc w:val="both"/>
        <w:spacing w:beforeAutospacing="0" w:afterAutospacing="0"/>
        <w:rPr>
          <w:highlight w:val="none"/>
        </w:rPr>
      </w:pP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投标人名称：</w:t>
      </w:r>
      <w:r>
        <w:rPr>
          <w:rFonts w:hint="eastAsia" w:ascii="宋体" w:hAnsi="宋体" w:eastAsia="宋体" w:cs="宋体"/>
          <w:b/>
          <w:color w:val="000000"/>
          <w:sz w:val="36"/>
          <w:szCs w:val="36"/>
          <w:highlight w:val="none"/>
          <w:u w:val="single"/>
        </w:rPr>
        <w:t xml:space="preserve">（加盖CA电子公章）       </w:t>
      </w:r>
      <w:r/>
    </w:p>
    <w:p>
      <w:pPr>
        <w:pStyle w:val="645"/>
        <w:ind w:firstLine="1084"/>
        <w:jc w:val="both"/>
        <w:spacing w:beforeAutospacing="0" w:afterAutospacing="0"/>
        <w:rPr>
          <w:highlight w:val="none"/>
        </w:rPr>
      </w:pPr>
      <w:r>
        <w:rPr>
          <w:rFonts w:hint="eastAsia" w:ascii="宋体" w:hAnsi="宋体" w:eastAsia="宋体" w:cs="宋体"/>
          <w:b/>
          <w:color w:val="000000"/>
          <w:sz w:val="36"/>
          <w:szCs w:val="36"/>
          <w:highlight w:val="none"/>
        </w:rPr>
        <w:t xml:space="preserve">日</w:t>
      </w:r>
      <w:r>
        <w:rPr>
          <w:rFonts w:hint="eastAsia" w:ascii="宋体" w:hAnsi="宋体" w:eastAsia="宋体" w:cs="宋体"/>
          <w:b/>
          <w:color w:val="000000"/>
          <w:sz w:val="36"/>
          <w:szCs w:val="36"/>
          <w:highlight w:val="none"/>
          <w:lang w:val="en-US" w:eastAsia="zh-CN"/>
        </w:rPr>
        <w:t xml:space="preserve">      </w:t>
      </w:r>
      <w:r>
        <w:rPr>
          <w:rFonts w:hint="eastAsia" w:ascii="宋体" w:hAnsi="宋体" w:eastAsia="宋体" w:cs="宋体"/>
          <w:b/>
          <w:color w:val="000000"/>
          <w:sz w:val="36"/>
          <w:szCs w:val="36"/>
          <w:highlight w:val="none"/>
        </w:rPr>
        <w:t xml:space="preserve">期：</w:t>
      </w:r>
      <w:r>
        <w:rPr>
          <w:rFonts w:hint="eastAsia" w:ascii="宋体" w:hAnsi="宋体" w:eastAsia="宋体" w:cs="宋体"/>
          <w:b/>
          <w:color w:val="000000"/>
          <w:sz w:val="36"/>
          <w:szCs w:val="36"/>
          <w:highlight w:val="none"/>
          <w:u w:val="single"/>
          <w:lang w:val="en-US" w:eastAsia="zh-CN"/>
        </w:rPr>
        <w:t xml:space="preserve">                         </w:t>
      </w:r>
      <w:r>
        <w:rPr>
          <w:rFonts w:hint="eastAsia" w:ascii="宋体" w:hAnsi="宋体" w:eastAsia="宋体" w:cs="宋体"/>
          <w:b/>
          <w:color w:val="000000"/>
          <w:sz w:val="36"/>
          <w:szCs w:val="36"/>
          <w:highlight w:val="none"/>
          <w:u w:val="single"/>
        </w:rPr>
        <w:t xml:space="preserve"> </w:t>
      </w:r>
      <w:r/>
    </w:p>
    <w:p>
      <w:pPr>
        <w:pStyle w:val="645"/>
        <w:jc w:val="center"/>
        <w:spacing w:beforeAutospacing="0" w:afterAutospacing="0" w:line="0" w:lineRule="atLeast"/>
        <w:rPr>
          <w:highlight w:val="none"/>
        </w:rPr>
      </w:pPr>
      <w:r>
        <w:rPr>
          <w:highlight w:val="none"/>
        </w:rPr>
        <w:t xml:space="preserve"> </w:t>
      </w:r>
      <w:r/>
    </w:p>
    <w:p>
      <w:pPr>
        <w:pStyle w:val="645"/>
        <w:jc w:val="both"/>
        <w:spacing w:beforeAutospacing="0" w:afterAutospacing="0" w:line="0" w:lineRule="atLeast"/>
        <w:rPr>
          <w:highlight w:val="none"/>
        </w:rPr>
      </w:pPr>
      <w:r>
        <w:rPr>
          <w:highlight w:val="none"/>
        </w:rPr>
        <w:t xml:space="preserve"> </w:t>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pStyle w:val="645"/>
        <w:jc w:val="center"/>
        <w:spacing w:beforeAutospacing="0" w:afterAutospacing="0" w:line="0" w:lineRule="atLeast"/>
        <w:rPr>
          <w:rFonts w:ascii="宋体" w:hAnsi="宋体" w:eastAsia="宋体" w:cs="宋体"/>
          <w:b/>
          <w:color w:val="000000"/>
          <w:sz w:val="36"/>
          <w:szCs w:val="36"/>
          <w:highlight w:val="none"/>
          <w:u w:val="single"/>
        </w:rPr>
      </w:pPr>
      <w:r>
        <w:rPr>
          <w:rFonts w:ascii="宋体" w:hAnsi="宋体" w:eastAsia="宋体" w:cs="宋体"/>
          <w:b/>
          <w:color w:val="000000"/>
          <w:sz w:val="36"/>
          <w:szCs w:val="36"/>
          <w:highlight w:val="none"/>
          <w:u w:val="singl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645"/>
        <w:jc w:val="center"/>
        <w:spacing w:beforeAutospacing="0" w:afterAutospacing="0" w:line="0" w:lineRule="atLeast"/>
        <w:rPr>
          <w:highlight w:val="none"/>
        </w:rPr>
      </w:pPr>
      <w:r>
        <w:rPr>
          <w:rFonts w:hint="eastAsia" w:ascii="宋体" w:hAnsi="宋体" w:eastAsia="宋体" w:cs="宋体"/>
          <w:b/>
          <w:color w:val="000000"/>
          <w:sz w:val="32"/>
          <w:szCs w:val="32"/>
          <w:highlight w:val="none"/>
        </w:rPr>
        <w:t xml:space="preserve">投标文件目录</w:t>
      </w:r>
      <w:r/>
    </w:p>
    <w:p>
      <w:pPr>
        <w:pStyle w:val="64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rPr>
      </w:r>
      <w:r/>
    </w:p>
    <w:p>
      <w:pPr>
        <w:pStyle w:val="64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一、法人或者其他组织的营业执照等证明文件，自然人的身份证明</w:t>
      </w:r>
      <w:r/>
    </w:p>
    <w:p>
      <w:pPr>
        <w:ind w:firstLine="480"/>
        <w:jc w:val="left"/>
        <w:tabs>
          <w:tab w:val="left" w:pos="1331" w:leader="none"/>
        </w:tabs>
        <w:rPr>
          <w:rFonts w:hint="eastAsia" w:ascii="宋体" w:hAnsi="宋体" w:eastAsia="宋体" w:cs="宋体"/>
          <w:i w:val="0"/>
          <w:iCs/>
          <w:color w:val="000000"/>
          <w:sz w:val="24"/>
          <w:szCs w:val="24"/>
          <w:highlight w:val="none"/>
          <w:u w:val="none"/>
          <w:lang w:val="en-US" w:eastAsia="zh-CN" w:bidi="ar-SA"/>
        </w:rPr>
      </w:pPr>
      <w:r>
        <w:rPr>
          <w:rFonts w:hint="eastAsia" w:ascii="宋体" w:hAnsi="宋体" w:eastAsia="宋体" w:cs="宋体"/>
          <w:i w:val="0"/>
          <w:iCs/>
          <w:color w:val="000000"/>
          <w:sz w:val="24"/>
          <w:szCs w:val="24"/>
          <w:highlight w:val="none"/>
          <w:u w:val="none"/>
          <w:lang w:val="en-US" w:eastAsia="zh-CN" w:bidi="ar-SA"/>
        </w:rPr>
        <w:t xml:space="preserve">二、上一年度的财务状况报表或银行资信证明【至少提供（资产负债表、利润表、现金流量表）或（财务审计报告或银行资信证明），投标人成立不满一年无需提供）】</w:t>
      </w:r>
      <w:r/>
    </w:p>
    <w:p>
      <w:pPr>
        <w:pStyle w:val="64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三</w:t>
      </w:r>
      <w:r>
        <w:rPr>
          <w:rFonts w:hint="eastAsia" w:ascii="宋体" w:hAnsi="宋体" w:eastAsia="宋体" w:cs="宋体"/>
          <w:i w:val="0"/>
          <w:iCs/>
          <w:color w:val="000000"/>
          <w:highlight w:val="none"/>
          <w:u w:val="none"/>
        </w:rPr>
        <w:t xml:space="preserve">、具备履行合同所必需的设备和专业技术能力的书面声明</w:t>
      </w:r>
      <w:r/>
    </w:p>
    <w:p>
      <w:pPr>
        <w:pStyle w:val="645"/>
        <w:ind w:left="480"/>
        <w:jc w:val="both"/>
        <w:spacing w:beforeAutospacing="0" w:afterAutospacing="0"/>
        <w:rPr>
          <w:rFonts w:hint="eastAsia" w:ascii="宋体" w:hAnsi="宋体" w:eastAsia="宋体" w:cs="宋体"/>
          <w:i w:val="0"/>
          <w:iCs/>
          <w:color w:val="000000"/>
          <w:highlight w:val="none"/>
          <w:u w:val="none"/>
        </w:rPr>
      </w:pPr>
      <w:r>
        <w:rPr>
          <w:rFonts w:hint="eastAsia" w:ascii="宋体" w:hAnsi="宋体" w:eastAsia="宋体" w:cs="宋体"/>
          <w:i w:val="0"/>
          <w:iCs/>
          <w:color w:val="000000"/>
          <w:highlight w:val="none"/>
          <w:u w:val="none"/>
          <w:lang w:val="en-US" w:eastAsia="zh-CN"/>
        </w:rPr>
        <w:t xml:space="preserve">四</w:t>
      </w:r>
      <w:r>
        <w:rPr>
          <w:rFonts w:hint="eastAsia" w:ascii="宋体" w:hAnsi="宋体" w:eastAsia="宋体" w:cs="宋体"/>
          <w:i w:val="0"/>
          <w:iCs/>
          <w:color w:val="000000"/>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4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五、参加政府采购活动前 3 年内在经营活动中没有重大违法记录的书面声明</w:t>
      </w:r>
      <w:r/>
    </w:p>
    <w:p>
      <w:pPr>
        <w:pStyle w:val="645"/>
        <w:ind w:left="480"/>
        <w:jc w:val="both"/>
        <w:spacing w:beforeAutospacing="0" w:afterAutospacing="0"/>
        <w:rPr>
          <w:rFonts w:hint="default" w:ascii="宋体" w:hAnsi="宋体" w:eastAsia="宋体" w:cs="宋体"/>
          <w:i w:val="0"/>
          <w:iCs/>
          <w:color w:val="000000"/>
          <w:highlight w:val="none"/>
          <w:u w:val="none"/>
          <w:lang w:val="en-US" w:eastAsia="zh-CN"/>
        </w:rPr>
      </w:pPr>
      <w:r>
        <w:rPr>
          <w:rFonts w:hint="eastAsia" w:ascii="宋体" w:hAnsi="宋体" w:eastAsia="宋体" w:cs="宋体"/>
          <w:i w:val="0"/>
          <w:iCs/>
          <w:color w:val="000000"/>
          <w:highlight w:val="none"/>
          <w:u w:val="none"/>
        </w:rPr>
        <w:t xml:space="preserve">六、特定资格要求的证明文件</w:t>
      </w:r>
      <w:r>
        <w:rPr>
          <w:rFonts w:hint="eastAsia" w:ascii="宋体" w:hAnsi="宋体" w:eastAsia="宋体" w:cs="宋体"/>
          <w:i w:val="0"/>
          <w:iCs/>
          <w:color w:val="000000"/>
          <w:highlight w:val="none"/>
          <w:u w:val="none"/>
          <w:lang w:eastAsia="zh-CN"/>
        </w:rPr>
        <w:t xml:space="preserve">：</w:t>
      </w:r>
      <w:r>
        <w:rPr>
          <w:rFonts w:hint="eastAsia" w:ascii="宋体" w:hAnsi="宋体" w:eastAsia="宋体" w:cs="宋体"/>
          <w:i w:val="0"/>
          <w:iCs/>
          <w:color w:val="000000"/>
          <w:highlight w:val="none"/>
          <w:u w:val="none"/>
          <w:lang w:val="en-US" w:eastAsia="zh-CN"/>
        </w:rPr>
        <w:t xml:space="preserve">投标供应商须提供省级应急管理部门核发的安全评价机构资质证书。</w:t>
      </w:r>
      <w:r/>
    </w:p>
    <w:p>
      <w:pPr>
        <w:pStyle w:val="64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七、法人授权书</w:t>
      </w:r>
      <w:r/>
    </w:p>
    <w:p>
      <w:pPr>
        <w:pStyle w:val="64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八、投标函</w:t>
      </w:r>
      <w:r/>
    </w:p>
    <w:p>
      <w:pPr>
        <w:pStyle w:val="64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九、</w:t>
      </w:r>
      <w:r>
        <w:rPr>
          <w:rFonts w:hint="eastAsia" w:ascii="宋体" w:hAnsi="宋体" w:eastAsia="宋体" w:cs="宋体"/>
          <w:i w:val="0"/>
          <w:iCs/>
          <w:color w:val="auto"/>
          <w:highlight w:val="none"/>
          <w:u w:val="none"/>
          <w:lang w:val="en-US" w:eastAsia="zh-CN"/>
        </w:rPr>
        <w:t xml:space="preserve">中小</w:t>
      </w:r>
      <w:r>
        <w:rPr>
          <w:rFonts w:hint="eastAsia" w:ascii="宋体" w:hAnsi="宋体" w:eastAsia="宋体" w:cs="宋体"/>
          <w:i w:val="0"/>
          <w:iCs/>
          <w:color w:val="auto"/>
          <w:highlight w:val="none"/>
          <w:u w:val="none"/>
        </w:rPr>
        <w:t xml:space="preserve">企业声明函</w:t>
      </w:r>
      <w:r/>
    </w:p>
    <w:p>
      <w:pPr>
        <w:pStyle w:val="64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十、残疾人福利性单位声明函</w:t>
      </w:r>
      <w:r/>
    </w:p>
    <w:p>
      <w:pPr>
        <w:pStyle w:val="64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十一、</w:t>
      </w:r>
      <w:r>
        <w:rPr>
          <w:rFonts w:hint="eastAsia" w:ascii="宋体" w:hAnsi="宋体" w:eastAsia="宋体" w:cs="宋体"/>
          <w:i w:val="0"/>
          <w:iCs/>
          <w:color w:val="000000"/>
          <w:highlight w:val="none"/>
          <w:u w:val="single"/>
          <w:lang w:val="en-US" w:eastAsia="zh-CN"/>
        </w:rPr>
        <w:t xml:space="preserve">项目组成员配置表</w:t>
      </w:r>
      <w:r/>
    </w:p>
    <w:p>
      <w:pPr>
        <w:pStyle w:val="64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十二、投标分项报价表</w:t>
      </w:r>
      <w:r/>
    </w:p>
    <w:p>
      <w:pPr>
        <w:pStyle w:val="64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十三、技术要求响应及偏离表</w:t>
      </w:r>
      <w:r/>
    </w:p>
    <w:p>
      <w:pPr>
        <w:pStyle w:val="645"/>
        <w:ind w:firstLine="480"/>
        <w:jc w:val="both"/>
        <w:spacing w:beforeAutospacing="0" w:afterAutospacing="0" w:line="0" w:lineRule="atLeast"/>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十四、商务要求响应及偏离表</w:t>
      </w:r>
      <w:r/>
    </w:p>
    <w:p>
      <w:pPr>
        <w:pStyle w:val="645"/>
        <w:ind w:left="480"/>
        <w:jc w:val="both"/>
        <w:spacing w:beforeAutospacing="0" w:afterAutospacing="0"/>
        <w:rPr>
          <w:rFonts w:ascii="宋体" w:hAnsi="宋体" w:eastAsia="宋体" w:cs="宋体"/>
          <w:i w:val="0"/>
          <w:iCs/>
          <w:color w:val="000000"/>
          <w:highlight w:val="none"/>
          <w:u w:val="none"/>
        </w:rPr>
      </w:pPr>
      <w:r>
        <w:rPr>
          <w:rFonts w:hint="eastAsia" w:ascii="宋体" w:hAnsi="宋体" w:eastAsia="宋体" w:cs="宋体"/>
          <w:i w:val="0"/>
          <w:iCs/>
          <w:color w:val="000000"/>
          <w:highlight w:val="none"/>
          <w:u w:val="none"/>
        </w:rPr>
        <w:t xml:space="preserve">十五、开标一览表</w:t>
      </w:r>
      <w:r/>
    </w:p>
    <w:p>
      <w:pPr>
        <w:pStyle w:val="645"/>
        <w:ind w:firstLine="480"/>
        <w:jc w:val="both"/>
        <w:spacing w:beforeAutospacing="0" w:afterAutospacing="0" w:line="360" w:lineRule="auto"/>
        <w:rPr>
          <w:rFonts w:ascii="宋体" w:hAnsi="宋体" w:eastAsia="宋体" w:cs="宋体"/>
          <w:i w:val="0"/>
          <w:iCs/>
          <w:color w:val="000000"/>
          <w:highlight w:val="none"/>
          <w:u w:val="none"/>
        </w:rPr>
      </w:pPr>
      <w:r>
        <w:rPr>
          <w:rFonts w:hint="eastAsia" w:ascii="宋体" w:hAnsi="宋体" w:eastAsia="宋体" w:cs="宋体"/>
          <w:i w:val="0"/>
          <w:iCs/>
          <w:color w:val="000000"/>
          <w:sz w:val="24"/>
          <w:highlight w:val="none"/>
          <w:u w:val="none"/>
        </w:rPr>
        <w:t xml:space="preserve">十六、</w:t>
      </w:r>
      <w:r>
        <w:rPr>
          <w:rFonts w:hint="eastAsia" w:ascii="宋体" w:hAnsi="宋体" w:eastAsia="宋体" w:cs="宋体"/>
          <w:i w:val="0"/>
          <w:iCs/>
          <w:color w:val="000000"/>
          <w:highlight w:val="none"/>
          <w:u w:val="none"/>
        </w:rPr>
        <w:t xml:space="preserve">盐城市政府采购事前信用承诺书</w:t>
      </w:r>
      <w:r/>
    </w:p>
    <w:p>
      <w:pPr>
        <w:pStyle w:val="64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45"/>
        <w:ind w:firstLine="480"/>
        <w:jc w:val="both"/>
        <w:spacing w:beforeAutospacing="0" w:afterAutospacing="0" w:line="0" w:lineRule="atLeast"/>
        <w:rPr>
          <w:rFonts w:ascii="宋体" w:hAnsi="宋体" w:eastAsia="宋体" w:cs="宋体"/>
          <w:color w:val="000000"/>
          <w:highlight w:val="none"/>
        </w:rPr>
      </w:pPr>
      <w:r>
        <w:rPr>
          <w:rFonts w:ascii="宋体" w:hAnsi="宋体" w:eastAsia="宋体" w:cs="宋体"/>
          <w:color w:val="000000"/>
          <w:highlight w:val="none"/>
        </w:rPr>
      </w:r>
      <w:r/>
    </w:p>
    <w:p>
      <w:pPr>
        <w:pStyle w:val="645"/>
        <w:ind w:firstLine="480"/>
        <w:jc w:val="both"/>
        <w:spacing w:beforeAutospacing="0" w:afterAutospacing="0" w:line="0" w:lineRule="atLeast"/>
        <w:rPr>
          <w:highlight w:val="none"/>
        </w:rPr>
      </w:pPr>
      <w:r>
        <w:rPr>
          <w:highlight w:val="none"/>
        </w:rPr>
        <w:t xml:space="preserve"> </w:t>
      </w:r>
      <w:r/>
    </w:p>
    <w:p>
      <w:pPr>
        <w:pStyle w:val="645"/>
        <w:ind w:firstLine="480"/>
        <w:jc w:val="both"/>
        <w:spacing w:beforeAutospacing="0" w:afterAutospacing="0" w:line="0" w:lineRule="atLeast"/>
        <w:rPr>
          <w:highlight w:val="none"/>
        </w:rPr>
      </w:pPr>
      <w:r>
        <w:rPr>
          <w:highlight w:val="none"/>
        </w:rPr>
        <w:t xml:space="preserve"> </w:t>
      </w:r>
      <w:r/>
    </w:p>
    <w:p>
      <w:pPr>
        <w:pStyle w:val="645"/>
        <w:ind w:firstLine="480"/>
        <w:jc w:val="both"/>
        <w:spacing w:beforeAutospacing="0" w:afterAutospacing="0" w:line="0" w:lineRule="atLeast"/>
        <w:rPr>
          <w:highlight w:val="none"/>
        </w:rPr>
      </w:pPr>
      <w:r>
        <w:rPr>
          <w:highlight w:val="none"/>
        </w:rPr>
        <w:t xml:space="preserve"> </w:t>
      </w:r>
      <w:r/>
    </w:p>
    <w:p>
      <w:pPr>
        <w:pStyle w:val="645"/>
        <w:ind w:firstLine="480"/>
        <w:jc w:val="both"/>
        <w:spacing w:beforeAutospacing="0" w:afterAutospacing="0" w:line="0" w:lineRule="atLeast"/>
        <w:rPr>
          <w:highlight w:val="none"/>
        </w:rPr>
      </w:pPr>
      <w:r>
        <w:rPr>
          <w:highlight w:val="none"/>
        </w:rPr>
        <w:t xml:space="preserve"> </w:t>
      </w:r>
      <w:r/>
    </w:p>
    <w:p>
      <w:pPr>
        <w:pStyle w:val="645"/>
        <w:ind w:firstLine="480"/>
        <w:jc w:val="both"/>
        <w:spacing w:beforeAutospacing="0" w:afterAutospacing="0" w:line="0" w:lineRule="atLeast"/>
        <w:rPr>
          <w:highlight w:val="none"/>
        </w:rPr>
      </w:pPr>
      <w:r/>
      <w:bookmarkStart w:id="205" w:name="_GoBack"/>
      <w:r/>
      <w:bookmarkEnd w:id="205"/>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highlight w:val="none"/>
        </w:rPr>
      </w:pPr>
      <w:r>
        <w:rPr>
          <w:highlight w:val="none"/>
        </w:rPr>
      </w:r>
      <w:r/>
    </w:p>
    <w:p>
      <w:pPr>
        <w:pStyle w:val="645"/>
        <w:jc w:val="both"/>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64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645"/>
        <w:ind w:firstLine="480"/>
        <w:jc w:val="both"/>
        <w:spacing w:beforeAutospacing="0" w:afterAutospacing="0" w:line="0" w:lineRule="atLeast"/>
        <w:rPr>
          <w:highlight w:val="none"/>
        </w:rPr>
      </w:pPr>
      <w:r>
        <w:rPr>
          <w:highlight w:val="none"/>
        </w:rPr>
      </w:r>
      <w:r/>
    </w:p>
    <w:p>
      <w:pPr>
        <w:pStyle w:val="645"/>
        <w:jc w:val="both"/>
        <w:spacing w:beforeAutospacing="0" w:afterAutospacing="0"/>
        <w:rPr>
          <w:rFonts w:eastAsia="黑体"/>
          <w:highlight w:val="none"/>
        </w:rPr>
      </w:pPr>
      <w:r>
        <w:rPr>
          <w:rFonts w:hint="eastAsia" w:ascii="黑体" w:hAnsi="宋体" w:eastAsia="黑体" w:cs="黑体"/>
          <w:i/>
          <w:color w:val="000000"/>
          <w:sz w:val="32"/>
          <w:szCs w:val="32"/>
          <w:highlight w:val="none"/>
          <w:u w:val="single"/>
        </w:rPr>
        <w:t xml:space="preserve">二、上一年度的财务状况报表</w:t>
      </w:r>
      <w:r>
        <w:rPr>
          <w:rFonts w:hint="eastAsia" w:ascii="黑体" w:hAnsi="宋体" w:eastAsia="黑体" w:cs="黑体"/>
          <w:i/>
          <w:color w:val="000000"/>
          <w:sz w:val="32"/>
          <w:szCs w:val="32"/>
          <w:highlight w:val="none"/>
          <w:u w:val="single"/>
          <w:lang w:val="en-US" w:eastAsia="zh-CN"/>
        </w:rPr>
        <w:t xml:space="preserve">或银行资信证明</w:t>
      </w:r>
      <w:r/>
    </w:p>
    <w:p>
      <w:pPr>
        <w:pStyle w:val="64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投标人成立不满一年不需提供</w:t>
      </w:r>
      <w:r/>
    </w:p>
    <w:p>
      <w:pPr>
        <w:pStyle w:val="64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三</w:t>
      </w:r>
      <w:r>
        <w:rPr>
          <w:rFonts w:hint="eastAsia" w:ascii="黑体" w:hAnsi="宋体" w:eastAsia="黑体" w:cs="黑体"/>
          <w:i/>
          <w:color w:val="000000"/>
          <w:sz w:val="32"/>
          <w:szCs w:val="32"/>
          <w:highlight w:val="none"/>
          <w:u w:val="single"/>
        </w:rPr>
        <w:t xml:space="preserve">、具备履行合同所必需的设备和专业技术能力的书面声明</w:t>
      </w:r>
      <w:r/>
    </w:p>
    <w:p>
      <w:pPr>
        <w:pStyle w:val="64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645"/>
        <w:ind w:firstLine="492"/>
        <w:jc w:val="both"/>
        <w:spacing w:beforeAutospacing="0" w:afterAutospacing="0" w:line="0" w:lineRule="atLeast"/>
        <w:rPr>
          <w:highlight w:val="none"/>
        </w:rPr>
      </w:pPr>
      <w:r>
        <w:rPr>
          <w:rFonts w:hint="eastAsia" w:ascii="宋体" w:hAnsi="宋体" w:eastAsia="宋体" w:cs="宋体"/>
          <w:color w:val="000000"/>
          <w:highlight w:val="none"/>
        </w:rPr>
        <w:t xml:space="preserve">主要设备有：</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45"/>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主要专业技术能力有：</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w:t>
      </w:r>
      <w:r/>
    </w:p>
    <w:p>
      <w:pPr>
        <w:pStyle w:val="645"/>
        <w:jc w:val="both"/>
        <w:spacing w:beforeAutospacing="0" w:afterAutospacing="0"/>
        <w:rPr>
          <w:highlight w:val="none"/>
        </w:rPr>
      </w:pPr>
      <w:r>
        <w:rPr>
          <w:rFonts w:hint="eastAsia" w:ascii="黑体" w:hAnsi="宋体" w:eastAsia="黑体" w:cs="黑体"/>
          <w:i/>
          <w:color w:val="000000"/>
          <w:sz w:val="32"/>
          <w:szCs w:val="32"/>
          <w:highlight w:val="none"/>
          <w:u w:val="single"/>
          <w:lang w:val="en-US" w:eastAsia="zh-CN"/>
        </w:rPr>
        <w:t xml:space="preserve">四</w:t>
      </w:r>
      <w:r>
        <w:rPr>
          <w:rFonts w:hint="eastAsia" w:ascii="黑体" w:hAnsi="宋体" w:eastAsia="黑体" w:cs="黑体"/>
          <w:i/>
          <w:color w:val="000000"/>
          <w:sz w:val="32"/>
          <w:szCs w:val="32"/>
          <w:highlight w:val="none"/>
          <w:u w:val="single"/>
        </w:rPr>
        <w:t xml:space="preserve">、依法缴纳税收和社会保障资金的相关材料</w:t>
      </w:r>
      <w:r/>
    </w:p>
    <w:p>
      <w:pPr>
        <w:pStyle w:val="645"/>
        <w:ind w:firstLine="480"/>
        <w:jc w:val="both"/>
        <w:spacing w:beforeAutospacing="0" w:afterAutospacing="0"/>
        <w:rPr>
          <w:highlight w:val="none"/>
        </w:rPr>
      </w:pPr>
      <w:r/>
      <w:bookmarkStart w:id="187" w:name="_Toc120614284"/>
      <w:r>
        <w:rPr>
          <w:rFonts w:hint="eastAsia" w:ascii="宋体" w:hAnsi="宋体" w:eastAsia="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bookmarkEnd w:id="187"/>
      <w:r/>
      <w:r/>
    </w:p>
    <w:p>
      <w:pPr>
        <w:pStyle w:val="645"/>
        <w:jc w:val="both"/>
        <w:spacing w:beforeAutospacing="0" w:afterAutospacing="0"/>
        <w:rPr>
          <w:highlight w:val="none"/>
        </w:rPr>
      </w:pP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645"/>
        <w:jc w:val="center"/>
        <w:spacing w:beforeAutospacing="0" w:afterAutospacing="0" w:line="0" w:lineRule="atLeast"/>
        <w:rPr>
          <w:highlight w:val="none"/>
        </w:rPr>
      </w:pPr>
      <w:r>
        <w:rPr>
          <w:rFonts w:hint="eastAsia" w:ascii="宋体" w:hAnsi="宋体" w:eastAsia="宋体" w:cs="宋体"/>
          <w:b/>
          <w:color w:val="000000"/>
          <w:sz w:val="44"/>
          <w:szCs w:val="44"/>
          <w:highlight w:val="none"/>
        </w:rPr>
        <w:t xml:space="preserve">声 明</w:t>
      </w:r>
      <w:r/>
    </w:p>
    <w:p>
      <w:pPr>
        <w:pStyle w:val="645"/>
        <w:jc w:val="both"/>
        <w:spacing w:beforeAutospacing="0" w:afterAutospacing="0" w:line="0" w:lineRule="atLeast"/>
        <w:rPr>
          <w:highlight w:val="none"/>
        </w:rPr>
      </w:pPr>
      <w:r>
        <w:rPr>
          <w:rFonts w:hint="eastAsia" w:ascii="宋体" w:hAnsi="宋体" w:eastAsia="宋体" w:cs="宋体"/>
          <w:b/>
          <w:color w:val="000000"/>
          <w:highlight w:val="none"/>
        </w:rPr>
        <w:t xml:space="preserve"> </w:t>
      </w:r>
      <w:r>
        <w:rPr>
          <w:rFonts w:hint="eastAsia" w:ascii="宋体" w:hAnsi="宋体" w:eastAsia="宋体" w:cs="宋体"/>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rFonts w:hint="default" w:eastAsia="黑体"/>
          <w:highlight w:val="none"/>
          <w:lang w:val="en-US" w:eastAsia="zh-CN"/>
        </w:rPr>
      </w:pPr>
      <w:r>
        <w:rPr>
          <w:rFonts w:hint="eastAsia" w:ascii="黑体" w:hAnsi="宋体" w:eastAsia="黑体" w:cs="黑体"/>
          <w:i/>
          <w:color w:val="000000"/>
          <w:sz w:val="32"/>
          <w:szCs w:val="32"/>
          <w:highlight w:val="none"/>
          <w:u w:val="single"/>
        </w:rPr>
        <w:t xml:space="preserve">六、特定资格要求的证明文件</w:t>
      </w:r>
      <w:r>
        <w:rPr>
          <w:rFonts w:hint="eastAsia" w:ascii="黑体" w:hAnsi="宋体" w:eastAsia="黑体" w:cs="黑体"/>
          <w:i/>
          <w:color w:val="000000"/>
          <w:sz w:val="32"/>
          <w:szCs w:val="32"/>
          <w:highlight w:val="none"/>
          <w:u w:val="single"/>
          <w:lang w:eastAsia="zh-CN"/>
        </w:rPr>
        <w:t xml:space="preserve">：</w:t>
      </w:r>
      <w:r>
        <w:rPr>
          <w:rFonts w:hint="eastAsia" w:ascii="黑体" w:hAnsi="宋体" w:eastAsia="黑体" w:cs="黑体"/>
          <w:i/>
          <w:color w:val="000000"/>
          <w:sz w:val="32"/>
          <w:szCs w:val="32"/>
          <w:highlight w:val="none"/>
          <w:u w:val="single"/>
          <w:lang w:val="en-US" w:eastAsia="zh-CN"/>
        </w:rPr>
        <w:t xml:space="preserve">投标供应商具有省级应急管理部门核发的安全评价机构资质证书。</w:t>
      </w:r>
      <w:r/>
    </w:p>
    <w:p>
      <w:pPr>
        <w:pStyle w:val="645"/>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 </w:t>
      </w:r>
      <w:r/>
    </w:p>
    <w:p>
      <w:pPr>
        <w:pStyle w:val="645"/>
        <w:jc w:val="both"/>
        <w:spacing w:beforeAutospacing="0" w:afterAutospacing="0" w:line="0" w:lineRule="atLeast"/>
        <w:rPr>
          <w:highlight w:val="none"/>
        </w:rPr>
      </w:pPr>
      <w:r>
        <w:rPr>
          <w:highlight w:val="none"/>
        </w:rPr>
        <w:t xml:space="preserve"> </w:t>
      </w:r>
      <w:r/>
    </w:p>
    <w:p>
      <w:pPr>
        <w:pStyle w:val="64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4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645"/>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br w:type="page" w:clear="all"/>
      </w:r>
      <w:r/>
    </w:p>
    <w:p>
      <w:pPr>
        <w:pStyle w:val="645"/>
        <w:jc w:val="center"/>
        <w:spacing w:beforeAutospacing="0" w:afterAutospacing="0"/>
        <w:rPr>
          <w:highlight w:val="none"/>
        </w:rPr>
      </w:pPr>
      <w:r>
        <w:rPr>
          <w:rFonts w:hint="eastAsia" w:ascii="黑体" w:hAnsi="宋体" w:eastAsia="黑体" w:cs="黑体"/>
          <w:i/>
          <w:color w:val="000000"/>
          <w:sz w:val="32"/>
          <w:szCs w:val="32"/>
          <w:highlight w:val="none"/>
          <w:u w:val="single"/>
        </w:rPr>
        <w:t xml:space="preserve">七、法人授权书</w:t>
      </w:r>
      <w:r/>
    </w:p>
    <w:p>
      <w:pPr>
        <w:pStyle w:val="64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本授权书声明：____________（投标人名称）授权________________（被授权人的姓名）为我方就</w:t>
      </w:r>
      <w:r>
        <w:rPr>
          <w:rFonts w:hint="eastAsia" w:ascii="Times New Roman" w:hAnsi="Times New Roman"/>
          <w:color w:val="000000"/>
          <w:highlight w:val="none"/>
          <w:u w:val="single"/>
          <w:lang w:val="en-US" w:eastAsia="zh-CN"/>
        </w:rPr>
        <w:t xml:space="preserve">JSZC-320922-YCSH-G2025-0021</w:t>
      </w:r>
      <w:r>
        <w:rPr>
          <w:rFonts w:ascii="Times New Roman" w:hAnsi="Times New Roman"/>
          <w:color w:val="000000"/>
          <w:highlight w:val="none"/>
        </w:rPr>
        <w:t xml:space="preserve">号项目采购活动的合法代理人，以本单位名义全权处理一切与该项目采购有关的事务。</w:t>
      </w:r>
      <w:r/>
    </w:p>
    <w:p>
      <w:pPr>
        <w:pStyle w:val="64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本授权书于______年____月____日起生效，特此声明。</w:t>
      </w:r>
      <w:r/>
    </w:p>
    <w:p>
      <w:pPr>
        <w:pStyle w:val="645"/>
        <w:jc w:val="both"/>
        <w:spacing w:beforeAutospacing="0" w:afterAutospacing="0"/>
        <w:tabs>
          <w:tab w:val="left" w:pos="360" w:leader="none"/>
        </w:tabs>
        <w:rPr>
          <w:rFonts w:hint="default" w:eastAsiaTheme="minorEastAsia"/>
          <w:highlight w:val="none"/>
          <w:lang w:val="en-US" w:eastAsia="zh-CN"/>
        </w:rPr>
      </w:pPr>
      <w:r>
        <w:rPr>
          <w:rFonts w:ascii="Times New Roman" w:hAnsi="Times New Roman"/>
          <w:color w:val="000000"/>
          <w:highlight w:val="none"/>
        </w:rPr>
        <w:t xml:space="preserve"> </w:t>
      </w:r>
      <w:r>
        <w:rPr>
          <w:rFonts w:hint="eastAsia" w:ascii="Times New Roman" w:hAnsi="Times New Roman"/>
          <w:color w:val="000000"/>
          <w:highlight w:val="none"/>
          <w:lang w:val="en-US" w:eastAsia="zh-CN"/>
        </w:rPr>
        <w:t xml:space="preserve">   </w:t>
      </w:r>
      <w:r>
        <w:rPr>
          <w:rFonts w:ascii="Times New Roman" w:hAnsi="Times New Roman"/>
          <w:color w:val="000000"/>
          <w:highlight w:val="none"/>
        </w:rPr>
        <w:t xml:space="preserve">被授权人身份证号码：</w:t>
      </w:r>
      <w:r>
        <w:rPr>
          <w:rFonts w:hint="eastAsia" w:ascii="Times New Roman" w:hAnsi="Times New Roman"/>
          <w:color w:val="000000"/>
          <w:highlight w:val="none"/>
          <w:u w:val="single"/>
          <w:lang w:val="en-US" w:eastAsia="zh-CN"/>
        </w:rPr>
        <w:t xml:space="preserve">              </w:t>
      </w:r>
      <w:r/>
    </w:p>
    <w:p>
      <w:pPr>
        <w:pStyle w:val="645"/>
        <w:ind w:firstLine="480"/>
        <w:jc w:val="both"/>
        <w:spacing w:beforeAutospacing="0" w:afterAutospacing="0"/>
        <w:tabs>
          <w:tab w:val="left" w:pos="360" w:leader="none"/>
        </w:tabs>
        <w:rPr>
          <w:rFonts w:hint="default" w:eastAsiaTheme="minorEastAsia"/>
          <w:highlight w:val="none"/>
          <w:lang w:val="en-US" w:eastAsia="zh-CN"/>
        </w:rPr>
      </w:pPr>
      <w:r>
        <w:rPr>
          <w:rFonts w:ascii="Times New Roman" w:hAnsi="Times New Roman"/>
          <w:color w:val="000000"/>
          <w:highlight w:val="none"/>
        </w:rPr>
        <w:t xml:space="preserve">被授权人联系电话：（手机）</w:t>
      </w:r>
      <w:r>
        <w:rPr>
          <w:rFonts w:hint="eastAsia" w:ascii="Times New Roman" w:hAnsi="Times New Roman"/>
          <w:color w:val="000000"/>
          <w:highlight w:val="none"/>
          <w:u w:val="single"/>
          <w:lang w:val="en-US" w:eastAsia="zh-CN"/>
        </w:rPr>
        <w:t xml:space="preserve">              </w:t>
      </w:r>
      <w:r/>
    </w:p>
    <w:p>
      <w:pPr>
        <w:pStyle w:val="645"/>
        <w:ind w:firstLine="480"/>
        <w:jc w:val="both"/>
        <w:spacing w:beforeAutospacing="0" w:afterAutospacing="0"/>
        <w:tabs>
          <w:tab w:val="left" w:pos="360" w:leader="none"/>
        </w:tabs>
        <w:rPr>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645"/>
        <w:ind w:firstLine="480"/>
        <w:jc w:val="both"/>
        <w:spacing w:beforeAutospacing="0" w:afterAutospacing="0"/>
        <w:tabs>
          <w:tab w:val="left" w:pos="360" w:leader="none"/>
        </w:tabs>
        <w:rPr>
          <w:rFonts w:hint="default" w:eastAsiaTheme="minorEastAsia"/>
          <w:highlight w:val="none"/>
          <w:lang w:val="en-US" w:eastAsia="zh-CN"/>
        </w:rPr>
      </w:pPr>
      <w:r>
        <w:rPr>
          <w:rFonts w:ascii="Times New Roman" w:hAnsi="Times New Roman"/>
          <w:color w:val="000000"/>
          <w:highlight w:val="none"/>
        </w:rPr>
        <w:t xml:space="preserve">单位地址：</w:t>
      </w:r>
      <w:r>
        <w:rPr>
          <w:rFonts w:hint="eastAsia" w:ascii="Times New Roman" w:hAnsi="Times New Roman"/>
          <w:color w:val="000000"/>
          <w:highlight w:val="none"/>
          <w:u w:val="single"/>
          <w:lang w:val="en-US" w:eastAsia="zh-CN"/>
        </w:rPr>
        <w:t xml:space="preserve">              </w:t>
      </w:r>
      <w:r/>
    </w:p>
    <w:p>
      <w:pPr>
        <w:pStyle w:val="645"/>
        <w:ind w:firstLine="480"/>
        <w:jc w:val="both"/>
        <w:spacing w:beforeAutospacing="0" w:afterAutospacing="0"/>
        <w:tabs>
          <w:tab w:val="left" w:pos="360" w:leader="none"/>
        </w:tabs>
        <w:rPr>
          <w:rFonts w:hint="default" w:eastAsiaTheme="minorEastAsia"/>
          <w:highlight w:val="none"/>
          <w:lang w:val="en-US" w:eastAsia="zh-CN"/>
        </w:rPr>
      </w:pPr>
      <w:r>
        <w:rPr>
          <w:rFonts w:ascii="Times New Roman" w:hAnsi="Times New Roman"/>
          <w:color w:val="000000"/>
          <w:highlight w:val="none"/>
        </w:rPr>
        <w:t xml:space="preserve">日期：</w:t>
      </w:r>
      <w:bookmarkStart w:id="188" w:name="_Hlt26955070"/>
      <w:r/>
      <w:bookmarkStart w:id="189" w:name="_格式3__银行出具的资信证明"/>
      <w:r/>
      <w:bookmarkStart w:id="190" w:name="_Hlt26671380"/>
      <w:r>
        <w:rPr>
          <w:rFonts w:hint="eastAsia" w:ascii="Times New Roman" w:hAnsi="Times New Roman"/>
          <w:color w:val="000000"/>
          <w:highlight w:val="none"/>
          <w:u w:val="single"/>
          <w:lang w:val="en-US" w:eastAsia="zh-CN"/>
        </w:rPr>
        <w:t xml:space="preserve">              </w:t>
      </w:r>
      <w:r/>
    </w:p>
    <w:p>
      <w:pPr>
        <w:pStyle w:val="645"/>
        <w:ind w:firstLine="480"/>
        <w:jc w:val="both"/>
        <w:spacing w:beforeAutospacing="0" w:afterAutospacing="0"/>
        <w:tabs>
          <w:tab w:val="left" w:pos="360" w:leader="none"/>
        </w:tabs>
        <w:rPr>
          <w:highlight w:val="none"/>
        </w:rPr>
      </w:pPr>
      <w:r>
        <w:rPr>
          <w:highlight w:val="none"/>
        </w:rPr>
      </w:r>
      <w:r/>
    </w:p>
    <w:p>
      <w:pPr>
        <w:pStyle w:val="64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45"/>
        <w:jc w:val="both"/>
        <w:spacing w:beforeAutospacing="0" w:afterAutospacing="0" w:line="0" w:lineRule="atLeast"/>
        <w:rPr>
          <w:highlight w:val="none"/>
        </w:rPr>
      </w:pPr>
      <w:r>
        <w:rPr>
          <w:highlight w:val="none"/>
        </w:rPr>
        <w:t xml:space="preserve"> </w:t>
      </w:r>
      <w:r/>
    </w:p>
    <w:p>
      <w:pPr>
        <w:pStyle w:val="645"/>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黑体" w:hAnsi="宋体" w:eastAsia="黑体" w:cs="黑体"/>
          <w:b/>
          <w:color w:val="000000"/>
          <w:sz w:val="32"/>
          <w:szCs w:val="32"/>
          <w:highlight w:val="none"/>
        </w:rPr>
        <w:t xml:space="preserve">八、投标函</w:t>
      </w:r>
      <w:r/>
    </w:p>
    <w:p>
      <w:pPr>
        <w:pStyle w:val="645"/>
        <w:spacing w:beforeAutospacing="0" w:afterAutospacing="0" w:line="0" w:lineRule="atLeast"/>
        <w:rPr>
          <w:rFonts w:hint="default" w:eastAsia="宋体"/>
          <w:highlight w:val="none"/>
          <w:lang w:val="en-US" w:eastAsia="zh-CN"/>
        </w:rPr>
      </w:pPr>
      <w:r>
        <w:rPr>
          <w:rFonts w:hint="eastAsia" w:ascii="宋体" w:hAnsi="宋体" w:eastAsia="宋体" w:cs="宋体"/>
          <w:color w:val="000000"/>
          <w:highlight w:val="none"/>
        </w:rPr>
        <w:t xml:space="preserve">致：</w:t>
      </w:r>
      <w:r>
        <w:rPr>
          <w:rFonts w:hint="eastAsia" w:ascii="宋体" w:hAnsi="宋体" w:eastAsia="宋体" w:cs="宋体"/>
          <w:color w:val="000000"/>
          <w:highlight w:val="none"/>
          <w:lang w:val="en-US" w:eastAsia="zh-CN"/>
        </w:rPr>
        <w:t xml:space="preserve">江苏滨海经济开发区沿海工业园管理委员会</w:t>
      </w:r>
      <w:r/>
    </w:p>
    <w:p>
      <w:pPr>
        <w:pStyle w:val="645"/>
        <w:ind w:firstLine="480"/>
        <w:spacing w:beforeAutospacing="0" w:afterAutospacing="0" w:line="0" w:lineRule="atLeast"/>
        <w:rPr>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u w:val="single"/>
          <w:lang w:val="en-US" w:eastAsia="zh-CN"/>
        </w:rPr>
        <w:t xml:space="preserve">JSZC-320922-YCSH-G2025-0021</w:t>
      </w:r>
      <w:r>
        <w:rPr>
          <w:rFonts w:hint="eastAsia" w:ascii="宋体" w:hAnsi="宋体" w:eastAsia="宋体" w:cs="宋体"/>
          <w:color w:val="000000"/>
          <w:highlight w:val="none"/>
          <w:u w:val="single"/>
          <w:lang w:eastAsia="zh-CN"/>
        </w:rPr>
        <w:t xml:space="preserve">）</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645"/>
        <w:ind w:firstLine="480"/>
        <w:spacing w:beforeAutospacing="0" w:afterAutospacing="0" w:line="0" w:lineRule="atLeast"/>
        <w:rPr>
          <w:highlight w:val="none"/>
        </w:rPr>
      </w:pPr>
      <w:r>
        <w:rPr>
          <w:rFonts w:hint="eastAsia" w:ascii="宋体" w:hAnsi="宋体" w:eastAsia="宋体" w:cs="宋体"/>
          <w:color w:val="000000"/>
          <w:highlight w:val="none"/>
        </w:rPr>
        <w:t xml:space="preserve">据此函，__________签字人兹宣布同意如下：</w:t>
      </w:r>
      <w:r/>
    </w:p>
    <w:p>
      <w:pPr>
        <w:pStyle w:val="645"/>
        <w:ind w:firstLine="480"/>
        <w:spacing w:beforeAutospacing="0" w:afterAutospacing="0" w:line="0" w:lineRule="atLeast"/>
        <w:rPr>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645"/>
        <w:ind w:firstLine="480"/>
        <w:spacing w:beforeAutospacing="0" w:afterAutospacing="0" w:line="0" w:lineRule="atLeast"/>
        <w:rPr>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645"/>
        <w:ind w:firstLine="480"/>
        <w:spacing w:beforeAutospacing="0" w:afterAutospacing="0" w:line="0" w:lineRule="atLeast"/>
        <w:rPr>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645"/>
        <w:ind w:firstLine="480"/>
        <w:spacing w:beforeAutospacing="0" w:afterAutospacing="0" w:line="0" w:lineRule="atLeast"/>
        <w:rPr>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645"/>
        <w:ind w:firstLine="480"/>
        <w:spacing w:beforeAutospacing="0" w:afterAutospacing="0" w:line="0" w:lineRule="atLeast"/>
        <w:rPr>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645"/>
        <w:ind w:firstLine="480"/>
        <w:spacing w:beforeAutospacing="0" w:afterAutospacing="0" w:line="0" w:lineRule="atLeast"/>
        <w:rPr>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645"/>
        <w:ind w:firstLine="480"/>
        <w:spacing w:beforeAutospacing="0" w:afterAutospacing="0" w:line="0" w:lineRule="atLeast"/>
        <w:rPr>
          <w:highlight w:val="none"/>
        </w:rPr>
      </w:pPr>
      <w:r>
        <w:rPr>
          <w:rFonts w:hint="eastAsia" w:ascii="宋体" w:hAnsi="宋体" w:eastAsia="宋体" w:cs="宋体"/>
          <w:color w:val="000000"/>
          <w:highlight w:val="none"/>
        </w:rPr>
        <w:t xml:space="preserve">7.与本投标有关的正式通讯地址为：</w:t>
      </w:r>
      <w:r/>
    </w:p>
    <w:p>
      <w:pPr>
        <w:pStyle w:val="64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地</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址：</w:t>
      </w:r>
      <w:r/>
    </w:p>
    <w:p>
      <w:pPr>
        <w:pStyle w:val="64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邮</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编：</w:t>
      </w:r>
      <w:r/>
    </w:p>
    <w:p>
      <w:pPr>
        <w:pStyle w:val="64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电</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话：</w:t>
      </w:r>
      <w:r/>
    </w:p>
    <w:p>
      <w:pPr>
        <w:pStyle w:val="64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传</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真：</w:t>
      </w:r>
      <w:r/>
    </w:p>
    <w:p>
      <w:pPr>
        <w:pStyle w:val="64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投标人开户行：</w:t>
      </w:r>
      <w:r/>
    </w:p>
    <w:p>
      <w:pPr>
        <w:pStyle w:val="64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账</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号： </w:t>
      </w:r>
      <w:r/>
    </w:p>
    <w:p>
      <w:pPr>
        <w:pStyle w:val="645"/>
        <w:ind w:left="420" w:firstLine="480"/>
        <w:spacing w:beforeAutospacing="0" w:afterAutospacing="0" w:line="0" w:lineRule="atLeast"/>
        <w:rPr>
          <w:highlight w:val="none"/>
        </w:rPr>
      </w:pPr>
      <w:r>
        <w:rPr>
          <w:rFonts w:hint="eastAsia" w:ascii="宋体" w:hAnsi="宋体" w:eastAsia="宋体" w:cs="宋体"/>
          <w:color w:val="000000"/>
          <w:highlight w:val="none"/>
        </w:rPr>
        <w:t xml:space="preserve">日</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期：________年____月____日</w:t>
      </w:r>
      <w:r/>
    </w:p>
    <w:p>
      <w:pPr>
        <w:pStyle w:val="645"/>
        <w:jc w:val="center"/>
        <w:spacing w:beforeAutospacing="0" w:afterAutospacing="0" w:line="0" w:lineRule="atLeast"/>
        <w:rPr>
          <w:highlight w:val="none"/>
        </w:rPr>
      </w:pPr>
      <w:r>
        <w:rPr>
          <w:highlight w:val="none"/>
        </w:rPr>
      </w:r>
      <w:r/>
    </w:p>
    <w:p>
      <w:pPr>
        <w:rPr>
          <w:rFonts w:hint="eastAsia" w:ascii="黑体" w:hAnsi="宋体" w:eastAsia="黑体" w:cs="黑体"/>
          <w:b/>
          <w:color w:val="auto"/>
          <w:sz w:val="32"/>
          <w:szCs w:val="32"/>
          <w:highlight w:val="none"/>
        </w:rPr>
      </w:pPr>
      <w:r>
        <w:rPr>
          <w:rFonts w:hint="eastAsia" w:ascii="黑体" w:hAnsi="宋体" w:eastAsia="黑体" w:cs="黑体"/>
          <w:b/>
          <w:color w:val="auto"/>
          <w:sz w:val="32"/>
          <w:szCs w:val="32"/>
          <w:highlight w:val="none"/>
        </w:rPr>
        <w:br w:type="page" w:clear="all"/>
      </w:r>
      <w:r/>
    </w:p>
    <w:p>
      <w:pPr>
        <w:pStyle w:val="645"/>
        <w:jc w:val="center"/>
        <w:spacing w:beforeAutospacing="0" w:afterAutospacing="0" w:line="0" w:lineRule="atLeast"/>
        <w:rPr>
          <w:color w:val="auto"/>
          <w:highlight w:val="none"/>
        </w:rPr>
      </w:pPr>
      <w:r>
        <w:rPr>
          <w:rFonts w:hint="eastAsia" w:ascii="黑体" w:hAnsi="宋体" w:eastAsia="黑体" w:cs="黑体"/>
          <w:b/>
          <w:color w:val="auto"/>
          <w:sz w:val="32"/>
          <w:szCs w:val="32"/>
          <w:highlight w:val="none"/>
        </w:rPr>
        <w:t xml:space="preserve">九、</w:t>
      </w:r>
      <w:r>
        <w:rPr>
          <w:rFonts w:hint="eastAsia" w:ascii="黑体" w:hAnsi="宋体" w:eastAsia="黑体" w:cs="黑体"/>
          <w:b/>
          <w:color w:val="auto"/>
          <w:sz w:val="32"/>
          <w:szCs w:val="32"/>
          <w:highlight w:val="none"/>
          <w:lang w:val="en-US" w:eastAsia="zh-CN"/>
        </w:rPr>
        <w:t xml:space="preserve">中小</w:t>
      </w:r>
      <w:r>
        <w:rPr>
          <w:rFonts w:hint="eastAsia" w:ascii="黑体" w:hAnsi="宋体" w:eastAsia="黑体" w:cs="黑体"/>
          <w:b/>
          <w:color w:val="auto"/>
          <w:sz w:val="32"/>
          <w:szCs w:val="32"/>
          <w:highlight w:val="none"/>
        </w:rPr>
        <w:t xml:space="preserve">企业声明函（服务）</w:t>
      </w:r>
      <w:r/>
    </w:p>
    <w:p>
      <w:pPr>
        <w:ind w:firstLine="480"/>
        <w:jc w:val="both"/>
        <w:spacing w:line="500" w:lineRule="exact"/>
        <w:rPr>
          <w:rFonts w:hint="eastAsia"/>
          <w:color w:val="auto"/>
          <w:sz w:val="24"/>
          <w:highlight w:val="none"/>
        </w:rPr>
      </w:pPr>
      <w:r>
        <w:rPr>
          <w:rFonts w:hint="eastAsia"/>
          <w:color w:val="auto"/>
          <w:sz w:val="24"/>
          <w:highlight w:val="none"/>
        </w:rPr>
        <w:t xml:space="preserve">本公司（联合体）郑重声明，根据《政府采购促进中小企业发展管理办法》（财库﹝2020﹞46 号）的规定，本公司（联合体）参加盐城市政府采购中心组织的</w:t>
      </w:r>
      <w:r>
        <w:rPr>
          <w:rFonts w:hint="eastAsia"/>
          <w:i/>
          <w:iCs/>
          <w:color w:val="auto"/>
          <w:sz w:val="24"/>
          <w:szCs w:val="24"/>
          <w:highlight w:val="none"/>
          <w:u w:val="single"/>
        </w:rPr>
        <w:t xml:space="preserve">（单位名称）</w:t>
      </w:r>
      <w:r>
        <w:rPr>
          <w:rFonts w:hint="eastAsia"/>
          <w:color w:val="auto"/>
          <w:sz w:val="24"/>
          <w:szCs w:val="20"/>
          <w:highlight w:val="none"/>
        </w:rPr>
        <w:t xml:space="preserve">，</w:t>
      </w:r>
      <w:r>
        <w:rPr>
          <w:rFonts w:hint="eastAsia"/>
          <w:color w:val="auto"/>
          <w:sz w:val="24"/>
          <w:highlight w:val="none"/>
        </w:rPr>
        <w:t xml:space="preserve">采购编号为</w:t>
      </w:r>
      <w:r>
        <w:rPr>
          <w:rFonts w:hint="eastAsia" w:asciiTheme="minorHAnsi" w:eastAsiaTheme="minorEastAsia"/>
          <w:color w:val="auto"/>
          <w:sz w:val="24"/>
          <w:highlight w:val="none"/>
          <w:u w:val="single"/>
          <w:lang w:val="en-US" w:eastAsia="zh-CN"/>
        </w:rPr>
        <w:t xml:space="preserve">     </w:t>
      </w:r>
      <w:r>
        <w:rPr>
          <w:rFonts w:hint="eastAsia" w:asciiTheme="minorHAnsi" w:eastAsiaTheme="minorEastAsia"/>
          <w:color w:val="auto"/>
          <w:sz w:val="24"/>
          <w:highlight w:val="none"/>
          <w:lang w:val="en-US" w:eastAsia="zh-CN"/>
        </w:rPr>
        <w:t xml:space="preserve">的</w:t>
      </w:r>
      <w:r>
        <w:rPr>
          <w:rFonts w:hint="eastAsia"/>
          <w:i/>
          <w:iCs/>
          <w:color w:val="auto"/>
          <w:sz w:val="24"/>
          <w:highlight w:val="none"/>
          <w:u w:val="single"/>
        </w:rPr>
        <w:t xml:space="preserve">（项目名称）</w:t>
      </w:r>
      <w:r>
        <w:rPr>
          <w:rFonts w:hint="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1"/>
        </w:numPr>
        <w:ind w:left="0" w:firstLine="480"/>
        <w:jc w:val="both"/>
        <w:spacing w:line="500" w:lineRule="exact"/>
        <w:rPr>
          <w:rFonts w:hint="eastAsia"/>
          <w:color w:val="auto"/>
          <w:sz w:val="24"/>
          <w:highlight w:val="none"/>
        </w:rPr>
      </w:pPr>
      <w:r>
        <w:rPr>
          <w:rFonts w:hint="eastAsia"/>
          <w:i/>
          <w:iCs/>
          <w:color w:val="auto"/>
          <w:sz w:val="24"/>
          <w:highlight w:val="none"/>
          <w:u w:val="single"/>
        </w:rPr>
        <w:t xml:space="preserve">（标的名称）</w:t>
      </w:r>
      <w:r>
        <w:rPr>
          <w:rFonts w:hint="eastAsia"/>
          <w:color w:val="auto"/>
          <w:sz w:val="24"/>
          <w:highlight w:val="none"/>
        </w:rPr>
        <w:t xml:space="preserve"> ，属于</w:t>
      </w:r>
      <w:r>
        <w:rPr>
          <w:rFonts w:hint="eastAsia"/>
          <w:i/>
          <w:iCs/>
          <w:color w:val="auto"/>
          <w:sz w:val="24"/>
          <w:highlight w:val="none"/>
          <w:u w:val="single"/>
        </w:rPr>
        <w:t xml:space="preserve">（采购文件中明确的所属行业）</w:t>
      </w:r>
      <w:r>
        <w:rPr>
          <w:rFonts w:hint="eastAsia"/>
          <w:color w:val="auto"/>
          <w:sz w:val="24"/>
          <w:highlight w:val="none"/>
        </w:rPr>
        <w:t xml:space="preserve">；承建（承接）企业为</w:t>
      </w:r>
      <w:r>
        <w:rPr>
          <w:rFonts w:hint="eastAsia"/>
          <w:i/>
          <w:iCs/>
          <w:color w:val="auto"/>
          <w:sz w:val="24"/>
          <w:highlight w:val="none"/>
          <w:u w:val="single"/>
        </w:rPr>
        <w:t xml:space="preserve">（企业名称）</w:t>
      </w:r>
      <w:r>
        <w:rPr>
          <w:rFonts w:hint="eastAsia"/>
          <w:color w:val="auto"/>
          <w:sz w:val="24"/>
          <w:highlight w:val="none"/>
        </w:rPr>
        <w:t xml:space="preserve">，从业人员</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 xml:space="preserve">人，营业收入为</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 xml:space="preserve">万元，资产总额为</w:t>
      </w:r>
      <w:r>
        <w:rPr>
          <w:rFonts w:hint="eastAsia" w:asciiTheme="minorHAnsi" w:eastAsiaTheme="minorEastAsia"/>
          <w:color w:val="auto"/>
          <w:sz w:val="24"/>
          <w:highlight w:val="none"/>
          <w:u w:val="single"/>
          <w:lang w:val="en-US" w:eastAsia="zh-CN"/>
        </w:rPr>
        <w:t xml:space="preserve">    </w:t>
      </w:r>
      <w:r>
        <w:rPr>
          <w:rFonts w:hint="eastAsia"/>
          <w:color w:val="auto"/>
          <w:sz w:val="24"/>
          <w:highlight w:val="none"/>
        </w:rPr>
        <w:t xml:space="preserve">万元，属于</w:t>
      </w:r>
      <w:r>
        <w:rPr>
          <w:rFonts w:hint="eastAsia"/>
          <w:i/>
          <w:iCs/>
          <w:color w:val="auto"/>
          <w:sz w:val="24"/>
          <w:highlight w:val="none"/>
          <w:u w:val="single"/>
        </w:rPr>
        <w:t xml:space="preserve">（中型企业、小型企业、微型企业）</w:t>
      </w: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color w:val="auto"/>
          <w:sz w:val="24"/>
          <w:highlight w:val="none"/>
        </w:rPr>
      </w:pPr>
      <w:r>
        <w:rPr>
          <w:rFonts w:hint="eastAsia"/>
          <w:color w:val="auto"/>
          <w:sz w:val="24"/>
          <w:highlight w:val="none"/>
        </w:rPr>
        <w:t xml:space="preserve">本企业对上述声明内容的真实性负责。如有虚假，将依法承担相应责任。</w:t>
      </w:r>
      <w:r/>
    </w:p>
    <w:p>
      <w:pPr>
        <w:pStyle w:val="645"/>
        <w:ind w:right="720"/>
        <w:jc w:val="both"/>
        <w:spacing w:beforeAutospacing="0" w:afterAutospacing="0" w:line="0" w:lineRule="atLeast"/>
        <w:rPr>
          <w:color w:val="auto"/>
          <w:highlight w:val="none"/>
        </w:rPr>
      </w:pPr>
      <w:r>
        <w:rPr>
          <w:color w:val="auto"/>
          <w:highlight w:val="none"/>
        </w:rPr>
        <w:t xml:space="preserve"> </w:t>
      </w:r>
      <w:r/>
    </w:p>
    <w:p>
      <w:pPr>
        <w:pStyle w:val="645"/>
        <w:ind w:right="180" w:firstLine="360"/>
        <w:jc w:val="right"/>
        <w:spacing w:beforeAutospacing="0" w:afterAutospacing="0" w:line="0" w:lineRule="atLeast"/>
        <w:rPr>
          <w:color w:val="auto"/>
          <w:highlight w:val="none"/>
        </w:rPr>
      </w:pPr>
      <w:r>
        <w:rPr>
          <w:rFonts w:hint="eastAsia" w:ascii="宋体" w:hAnsi="宋体" w:eastAsia="宋体" w:cs="宋体"/>
          <w:color w:val="auto"/>
          <w:highlight w:val="none"/>
        </w:rPr>
        <w:t xml:space="preserve">企业名称（加盖CA电子公章）：</w:t>
      </w:r>
      <w:r/>
    </w:p>
    <w:p>
      <w:pPr>
        <w:pStyle w:val="645"/>
        <w:ind w:right="480" w:firstLine="540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日  期：</w:t>
      </w:r>
      <w:r/>
    </w:p>
    <w:p>
      <w:pPr>
        <w:pStyle w:val="645"/>
        <w:ind w:firstLine="240"/>
        <w:jc w:val="both"/>
        <w:spacing w:beforeAutospacing="0" w:afterAutospacing="0" w:line="0" w:lineRule="atLeast"/>
        <w:rPr>
          <w:color w:val="auto"/>
          <w:highlight w:val="none"/>
        </w:rPr>
      </w:pPr>
      <w:r>
        <w:rPr>
          <w:color w:val="auto"/>
          <w:highlight w:val="none"/>
        </w:rPr>
        <w:t xml:space="preserve"> </w:t>
      </w:r>
      <w:r/>
    </w:p>
    <w:p>
      <w:pPr>
        <w:pStyle w:val="64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备注1：从业人员、营业收入、资产总额填报上一年度数据，无上一年度数据的新成立企业可不填报。</w:t>
      </w:r>
      <w:r/>
    </w:p>
    <w:p>
      <w:pPr>
        <w:pStyle w:val="645"/>
        <w:ind w:firstLine="480"/>
        <w:jc w:val="both"/>
        <w:spacing w:beforeAutospacing="0" w:afterAutospacing="0" w:line="0" w:lineRule="atLeast"/>
        <w:rPr>
          <w:color w:val="auto"/>
          <w:highlight w:val="none"/>
        </w:rPr>
      </w:pPr>
      <w:r>
        <w:rPr>
          <w:rFonts w:hint="eastAsia" w:ascii="宋体" w:hAnsi="宋体" w:eastAsia="宋体" w:cs="宋体"/>
          <w:color w:val="auto"/>
          <w:highlight w:val="none"/>
        </w:rPr>
        <w:t xml:space="preserve">备注2：供应商如不提供此声明函，价格将不做相应扣除</w:t>
      </w:r>
      <w:r>
        <w:rPr>
          <w:rFonts w:hint="eastAsia" w:ascii="宋体" w:hAnsi="宋体" w:eastAsia="宋体" w:cs="宋体"/>
          <w:color w:val="auto"/>
          <w:highlight w:val="none"/>
          <w:lang w:eastAsia="zh-CN"/>
        </w:rPr>
        <w:t xml:space="preserve">（如项目全面面向中小企业，则资格审查不通过）</w:t>
      </w:r>
      <w:r>
        <w:rPr>
          <w:rFonts w:hint="eastAsia" w:ascii="宋体" w:hAnsi="宋体" w:eastAsia="宋体" w:cs="宋体"/>
          <w:color w:val="auto"/>
          <w:highlight w:val="none"/>
        </w:rPr>
        <w:t xml:space="preserve">。</w:t>
      </w:r>
      <w:r/>
    </w:p>
    <w:p>
      <w:pPr>
        <w:jc w:val="center"/>
        <w:keepLines w:val="0"/>
        <w:keepNext w:val="0"/>
        <w:pageBreakBefore w:val="0"/>
        <w:spacing w:line="56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645"/>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十、残疾人福利性单位声明函</w:t>
      </w:r>
      <w:r/>
    </w:p>
    <w:p>
      <w:pPr>
        <w:pStyle w:val="645"/>
        <w:ind w:firstLine="480"/>
        <w:jc w:val="both"/>
        <w:spacing w:beforeAutospacing="0" w:afterAutospacing="0" w:line="0" w:lineRule="atLeast"/>
        <w:rPr>
          <w:rFonts w:hint="eastAsia" w:ascii="宋体" w:hAnsi="宋体" w:eastAsia="宋体" w:cs="宋体"/>
          <w:color w:val="000000"/>
          <w:highlight w:val="none"/>
          <w:u w:val="single"/>
          <w:lang w:val="en-US" w:eastAsia="zh-CN"/>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highlight w:val="none"/>
          <w:u w:val="single"/>
          <w:lang w:val="en-US" w:eastAsia="zh-CN"/>
        </w:rPr>
        <w:t xml:space="preserve">   </w:t>
      </w:r>
      <w:r/>
    </w:p>
    <w:p>
      <w:pPr>
        <w:pStyle w:val="645"/>
        <w:ind w:firstLine="480"/>
        <w:jc w:val="both"/>
        <w:spacing w:beforeAutospacing="0" w:afterAutospacing="0" w:line="0" w:lineRule="atLeast"/>
        <w:rPr>
          <w:highlight w:val="none"/>
        </w:rPr>
      </w:pP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64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645"/>
        <w:ind w:firstLine="480"/>
        <w:jc w:val="both"/>
        <w:spacing w:beforeAutospacing="0" w:afterAutospacing="0" w:line="0" w:lineRule="atLeast"/>
        <w:rPr>
          <w:highlight w:val="none"/>
        </w:rPr>
      </w:pPr>
      <w:r>
        <w:rPr>
          <w:highlight w:val="none"/>
        </w:rPr>
      </w:r>
      <w:r/>
    </w:p>
    <w:p>
      <w:pPr>
        <w:pStyle w:val="645"/>
        <w:ind w:firstLine="480"/>
        <w:jc w:val="both"/>
        <w:spacing w:beforeAutospacing="0" w:afterAutospacing="0" w:line="0" w:lineRule="atLeast"/>
        <w:rPr>
          <w:rFonts w:hint="eastAsia" w:eastAsia="宋体"/>
          <w:highlight w:val="none"/>
          <w:lang w:eastAsia="zh-CN"/>
        </w:rPr>
      </w:pPr>
      <w:r>
        <w:rPr>
          <w:rFonts w:hint="eastAsia" w:ascii="宋体" w:hAnsi="宋体" w:eastAsia="宋体" w:cs="宋体"/>
          <w:color w:val="000000"/>
          <w:highlight w:val="none"/>
        </w:rPr>
        <w:t xml:space="preserve">备注：1、供应商如不提供此声明函，价格将不做相应扣除</w:t>
      </w:r>
      <w:r>
        <w:rPr>
          <w:rFonts w:hint="eastAsia" w:ascii="宋体" w:hAnsi="宋体" w:eastAsia="宋体" w:cs="宋体"/>
          <w:color w:val="000000"/>
          <w:highlight w:val="none"/>
          <w:lang w:eastAsia="zh-CN"/>
        </w:rPr>
        <w:t xml:space="preserve">（如项目全面面向中小企业，则资格审查不通过）。</w:t>
      </w:r>
      <w:r/>
    </w:p>
    <w:p>
      <w:pPr>
        <w:pStyle w:val="645"/>
        <w:ind w:firstLine="480"/>
        <w:jc w:val="both"/>
        <w:spacing w:beforeAutospacing="0" w:afterAutospacing="0" w:line="0" w:lineRule="atLeast"/>
        <w:rPr>
          <w:highlight w:val="none"/>
        </w:rPr>
      </w:pPr>
      <w:r>
        <w:rPr>
          <w:rFonts w:hint="eastAsia" w:ascii="宋体" w:hAnsi="宋体" w:eastAsia="宋体" w:cs="宋体"/>
          <w:color w:val="000000"/>
          <w:highlight w:val="none"/>
        </w:rPr>
        <w:t xml:space="preserve">2、中标人为残疾人福利单位的，此声明函将随中标结果同时公告，接受社会监督</w:t>
      </w:r>
      <w:r/>
    </w:p>
    <w:p>
      <w:pPr>
        <w:pStyle w:val="645"/>
        <w:ind w:firstLine="624"/>
        <w:jc w:val="both"/>
        <w:spacing w:beforeAutospacing="0" w:afterAutospacing="0" w:line="0" w:lineRule="atLeast"/>
        <w:rPr>
          <w:highlight w:val="none"/>
        </w:rPr>
      </w:pPr>
      <w:r>
        <w:rPr>
          <w:highlight w:val="none"/>
        </w:rPr>
      </w:r>
      <w:r/>
    </w:p>
    <w:p>
      <w:pPr>
        <w:pStyle w:val="645"/>
        <w:ind w:right="1560" w:firstLine="624"/>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供应商全称（加盖CA电子公章）：</w:t>
      </w:r>
      <w:r/>
    </w:p>
    <w:p>
      <w:pPr>
        <w:pStyle w:val="645"/>
        <w:ind w:right="1560" w:firstLine="480"/>
        <w:jc w:val="center"/>
        <w:spacing w:beforeAutospacing="0" w:afterAutospacing="0" w:line="0" w:lineRule="atLeast"/>
        <w:tabs>
          <w:tab w:val="left" w:pos="4864" w:leader="none"/>
        </w:tabs>
        <w:rPr>
          <w:highlight w:val="none"/>
        </w:rPr>
      </w:pPr>
      <w:r>
        <w:rPr>
          <w:rFonts w:hint="eastAsia" w:ascii="宋体" w:hAnsi="宋体" w:eastAsia="宋体" w:cs="宋体"/>
          <w:color w:val="000000"/>
          <w:highlight w:val="none"/>
        </w:rPr>
        <w:t xml:space="preserve"> 日</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期：</w:t>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645"/>
        <w:jc w:val="center"/>
        <w:spacing w:beforeAutospacing="0" w:afterAutospacing="0" w:line="0" w:lineRule="atLeast"/>
        <w:rPr>
          <w:highlight w:val="none"/>
        </w:rPr>
      </w:pPr>
      <w:r>
        <w:rPr>
          <w:rFonts w:hint="eastAsia" w:ascii="黑体" w:hAnsi="宋体" w:eastAsia="黑体" w:cs="黑体"/>
          <w:b/>
          <w:color w:val="000000"/>
          <w:sz w:val="32"/>
          <w:szCs w:val="32"/>
          <w:highlight w:val="none"/>
        </w:rPr>
        <w:t xml:space="preserve">十一、项目组成员配置表</w:t>
      </w:r>
      <w:r/>
    </w:p>
    <w:tbl>
      <w:tblPr>
        <w:tblStyle w:val="638"/>
        <w:tblW w:w="8327" w:type="dxa"/>
        <w:tblInd w:w="93" w:type="dxa"/>
        <w:tblLayout w:type="fixed"/>
        <w:tblCellMar>
          <w:left w:w="108" w:type="dxa"/>
          <w:top w:w="0" w:type="dxa"/>
          <w:right w:w="108" w:type="dxa"/>
          <w:bottom w:w="0" w:type="dxa"/>
        </w:tblCellMar>
        <w:tblLook w:val="04A0" w:firstRow="1" w:lastRow="0" w:firstColumn="1" w:lastColumn="0" w:noHBand="0" w:noVBand="1"/>
      </w:tblPr>
      <w:tblGrid>
        <w:gridCol w:w="994"/>
        <w:gridCol w:w="1411"/>
        <w:gridCol w:w="1886"/>
        <w:gridCol w:w="1364"/>
        <w:gridCol w:w="1254"/>
        <w:gridCol w:w="1418"/>
      </w:tblGrid>
      <w:tr>
        <w:trPr>
          <w:trHeight w:val="270"/>
        </w:trPr>
        <w:tc>
          <w:tcPr>
            <w:tcBorders>
              <w:top w:val="single" w:color="auto" w:sz="4" w:space="0"/>
              <w:left w:val="single" w:color="auto" w:sz="4" w:space="0"/>
              <w:bottom w:val="single" w:color="auto" w:sz="4" w:space="0"/>
              <w:right w:val="single" w:color="auto" w:sz="4" w:space="0"/>
            </w:tcBorders>
            <w:tcW w:w="994" w:type="dxa"/>
            <w:vAlign w:val="center"/>
            <w:textDirection w:val="lrTb"/>
            <w:noWrap/>
          </w:tcPr>
          <w:p>
            <w:pPr>
              <w:jc w:val="center"/>
              <w:rPr>
                <w:bCs/>
                <w:sz w:val="28"/>
                <w:szCs w:val="28"/>
              </w:rPr>
            </w:pPr>
            <w:r>
              <w:rPr>
                <w:rFonts w:hint="eastAsia"/>
                <w:bCs/>
                <w:sz w:val="28"/>
                <w:szCs w:val="28"/>
              </w:rPr>
              <w:t xml:space="preserve">序号</w:t>
            </w:r>
            <w:r/>
          </w:p>
        </w:tc>
        <w:tc>
          <w:tcPr>
            <w:tcBorders>
              <w:top w:val="single" w:color="auto" w:sz="4" w:space="0"/>
              <w:left w:val="none" w:color="000000" w:sz="4" w:space="0"/>
              <w:bottom w:val="single" w:color="auto" w:sz="4" w:space="0"/>
              <w:right w:val="single" w:color="auto" w:sz="4" w:space="0"/>
            </w:tcBorders>
            <w:tcW w:w="1411" w:type="dxa"/>
            <w:vAlign w:val="center"/>
            <w:textDirection w:val="lrTb"/>
            <w:noWrap/>
          </w:tcPr>
          <w:p>
            <w:pPr>
              <w:jc w:val="center"/>
              <w:rPr>
                <w:bCs/>
                <w:sz w:val="28"/>
                <w:szCs w:val="28"/>
              </w:rPr>
            </w:pPr>
            <w:r>
              <w:rPr>
                <w:rFonts w:hint="eastAsia"/>
                <w:bCs/>
                <w:sz w:val="28"/>
                <w:szCs w:val="28"/>
              </w:rPr>
              <w:t xml:space="preserve">岗位名称</w:t>
            </w:r>
            <w:r/>
          </w:p>
        </w:tc>
        <w:tc>
          <w:tcPr>
            <w:tcBorders>
              <w:top w:val="single" w:color="auto" w:sz="4" w:space="0"/>
              <w:left w:val="none" w:color="000000" w:sz="4" w:space="0"/>
              <w:bottom w:val="single" w:color="auto" w:sz="4" w:space="0"/>
              <w:right w:val="single" w:color="auto" w:sz="4" w:space="0"/>
            </w:tcBorders>
            <w:tcW w:w="1886" w:type="dxa"/>
            <w:vAlign w:val="center"/>
            <w:textDirection w:val="lrTb"/>
            <w:noWrap/>
          </w:tcPr>
          <w:p>
            <w:pPr>
              <w:jc w:val="center"/>
              <w:rPr>
                <w:bCs/>
                <w:sz w:val="28"/>
                <w:szCs w:val="28"/>
              </w:rPr>
            </w:pPr>
            <w:r>
              <w:rPr>
                <w:rFonts w:hint="eastAsia"/>
                <w:bCs/>
                <w:sz w:val="28"/>
                <w:szCs w:val="28"/>
              </w:rPr>
              <w:t xml:space="preserve">姓名</w:t>
            </w:r>
            <w:r/>
          </w:p>
        </w:tc>
        <w:tc>
          <w:tcPr>
            <w:tcBorders>
              <w:top w:val="single" w:color="auto" w:sz="4" w:space="0"/>
              <w:left w:val="none" w:color="000000" w:sz="4" w:space="0"/>
              <w:bottom w:val="single" w:color="auto" w:sz="4" w:space="0"/>
              <w:right w:val="single" w:color="auto" w:sz="4" w:space="0"/>
            </w:tcBorders>
            <w:tcW w:w="1364" w:type="dxa"/>
            <w:vAlign w:val="center"/>
            <w:textDirection w:val="lrTb"/>
            <w:noWrap/>
          </w:tcPr>
          <w:p>
            <w:pPr>
              <w:jc w:val="center"/>
              <w:rPr>
                <w:rFonts w:hint="default" w:eastAsia="宋体"/>
                <w:bCs/>
                <w:sz w:val="28"/>
                <w:szCs w:val="28"/>
                <w:lang w:val="en-US" w:eastAsia="zh-CN"/>
              </w:rPr>
            </w:pPr>
            <w:r>
              <w:rPr>
                <w:rFonts w:hint="eastAsia"/>
                <w:bCs/>
                <w:sz w:val="28"/>
                <w:szCs w:val="28"/>
                <w:lang w:val="en-US" w:eastAsia="zh-CN"/>
              </w:rPr>
              <w:t xml:space="preserve">相关证书</w:t>
            </w:r>
            <w:r/>
          </w:p>
        </w:tc>
        <w:tc>
          <w:tcPr>
            <w:tcBorders>
              <w:top w:val="single" w:color="auto" w:sz="4" w:space="0"/>
              <w:left w:val="none" w:color="000000" w:sz="4" w:space="0"/>
              <w:bottom w:val="single" w:color="auto" w:sz="4" w:space="0"/>
              <w:right w:val="single" w:color="auto" w:sz="4" w:space="0"/>
            </w:tcBorders>
            <w:tcW w:w="1254" w:type="dxa"/>
            <w:vAlign w:val="center"/>
            <w:textDirection w:val="lrTb"/>
            <w:noWrap/>
          </w:tcPr>
          <w:p>
            <w:pPr>
              <w:jc w:val="center"/>
              <w:rPr>
                <w:rFonts w:hint="eastAsia" w:eastAsiaTheme="minorEastAsia"/>
                <w:bCs/>
                <w:sz w:val="28"/>
                <w:szCs w:val="28"/>
                <w:lang w:val="en-US" w:eastAsia="zh-CN"/>
              </w:rPr>
            </w:pPr>
            <w:r>
              <w:rPr>
                <w:rFonts w:hint="eastAsia"/>
                <w:bCs/>
                <w:sz w:val="28"/>
                <w:szCs w:val="28"/>
                <w:lang w:val="en-US" w:eastAsia="zh-CN"/>
              </w:rPr>
              <w:t xml:space="preserve">职称</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tcPr>
          <w:p>
            <w:pPr>
              <w:jc w:val="center"/>
              <w:rPr>
                <w:bCs/>
                <w:sz w:val="28"/>
                <w:szCs w:val="28"/>
              </w:rPr>
            </w:pPr>
            <w:r>
              <w:rPr>
                <w:rFonts w:hint="eastAsia"/>
                <w:bCs/>
                <w:sz w:val="28"/>
                <w:szCs w:val="28"/>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center"/>
              <w:spacing w:line="480" w:lineRule="exact"/>
              <w:rPr>
                <w:rFonts w:hint="eastAsia" w:eastAsia="宋体"/>
                <w:lang w:val="en-US" w:eastAsia="zh-CN"/>
              </w:rPr>
            </w:pPr>
            <w:r>
              <w:rPr>
                <w:rFonts w:hint="eastAsia"/>
                <w:lang w:val="en-US" w:eastAsia="zh-CN"/>
              </w:rPr>
              <w:t xml:space="preserve">1</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default" w:eastAsia="宋体"/>
                <w:lang w:val="en-US" w:eastAsia="zh-CN"/>
              </w:rPr>
            </w:pPr>
            <w:r>
              <w:rPr>
                <w:rFonts w:hint="default" w:eastAsia="宋体"/>
                <w:lang w:val="en-US" w:eastAsia="zh-CN"/>
              </w:rPr>
              <w:t xml:space="preserve">项目负责人</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rFonts w:hint="default" w:eastAsiaTheme="minorEastAsia"/>
                <w:lang w:val="en-US" w:eastAsia="zh-CN"/>
              </w:rPr>
            </w:pPr>
            <w:r>
              <w:rPr>
                <w:rFonts w:hint="default" w:eastAsiaTheme="minorEastAsia"/>
                <w:lang w:val="en-US" w:eastAsia="zh-CN"/>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rFonts w:hint="default" w:eastAsiaTheme="minorEastAsia"/>
                <w:lang w:val="en-US" w:eastAsia="zh-CN"/>
              </w:rPr>
            </w:pPr>
            <w:r>
              <w:rPr>
                <w:rFonts w:hint="default" w:eastAsiaTheme="minorEastAsia"/>
                <w:lang w:val="en-US" w:eastAsia="zh-CN"/>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rFonts w:hint="eastAsia" w:eastAsia="宋体"/>
                <w:lang w:val="en-US" w:eastAsia="zh-CN"/>
              </w:rPr>
            </w:pPr>
            <w:r>
              <w:rPr>
                <w:rFonts w:hint="eastAsia" w:eastAsia="宋体"/>
                <w:lang w:val="en-US" w:eastAsia="zh-CN"/>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default" w:eastAsia="宋体"/>
                <w:lang w:val="en-US" w:eastAsia="zh-CN"/>
              </w:rPr>
            </w:pPr>
            <w:r>
              <w:rPr>
                <w:rFonts w:hint="default" w:eastAsia="宋体"/>
                <w:lang w:val="en-US" w:eastAsia="zh-CN"/>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rPr>
                <w:rFonts w:hint="eastAsia" w:eastAsia="宋体"/>
                <w:lang w:val="en-US" w:eastAsia="zh-CN"/>
              </w:rPr>
            </w:pPr>
            <w:r>
              <w:rPr>
                <w:rFonts w:hint="eastAsia" w:eastAsia="宋体"/>
                <w:lang w:val="en-US" w:eastAsia="zh-CN"/>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default" w:eastAsia="宋体"/>
                <w:lang w:val="en-US" w:eastAsia="zh-CN"/>
              </w:rPr>
            </w:pPr>
            <w:r>
              <w:rPr>
                <w:rFonts w:hint="default" w:eastAsia="宋体"/>
                <w:lang w:val="en-US" w:eastAsia="zh-CN"/>
              </w:rPr>
              <w:t xml:space="preserve">……</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center"/>
              <w:spacing w:line="480" w:lineRule="exact"/>
              <w:rPr>
                <w:rFonts w:hint="default" w:eastAsia="宋体"/>
                <w:lang w:val="en-US" w:eastAsia="zh-CN"/>
              </w:rPr>
            </w:pPr>
            <w:r>
              <w:rPr>
                <w:rFonts w:hint="eastAsia" w:eastAsia="宋体"/>
                <w:lang w:val="en-US" w:eastAsia="zh-CN"/>
              </w:rPr>
              <w:t xml:space="preserve">2</w:t>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eastAsia" w:eastAsiaTheme="minorEastAsia"/>
                <w:lang w:val="en-US" w:eastAsia="zh-CN"/>
              </w:rPr>
            </w:pPr>
            <w:r>
              <w:rPr>
                <w:rFonts w:hint="eastAsia" w:eastAsiaTheme="minorEastAsia"/>
                <w:lang w:val="en-US" w:eastAsia="zh-CN"/>
              </w:rPr>
              <w:t xml:space="preserve">项目组成员</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rPr>
                <w:rFonts w:hint="default" w:eastAsiaTheme="minorEastAsia"/>
                <w:lang w:val="en-US" w:eastAsia="zh-CN"/>
              </w:rPr>
            </w:pPr>
            <w:r>
              <w:rPr>
                <w:rFonts w:hint="default" w:eastAsiaTheme="minorEastAsia"/>
                <w:lang w:val="en-US" w:eastAsia="zh-CN"/>
              </w:r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rPr>
                <w:rFonts w:hint="default" w:eastAsiaTheme="minorEastAsia"/>
                <w:lang w:val="en-US" w:eastAsia="zh-CN"/>
              </w:rPr>
            </w:pPr>
            <w:r>
              <w:rPr>
                <w:rFonts w:hint="default" w:eastAsiaTheme="minorEastAsia"/>
                <w:lang w:val="en-US" w:eastAsia="zh-CN"/>
              </w:r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eastAsia" w:eastAsia="宋体"/>
                <w:lang w:eastAsia="zh-CN"/>
              </w:rPr>
            </w:pPr>
            <w:r>
              <w:rPr>
                <w:rFonts w:hint="eastAsia" w:eastAsia="宋体"/>
                <w:lang w:eastAsia="zh-CN"/>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default" w:eastAsia="宋体"/>
                <w:lang w:val="en-US" w:eastAsia="zh-CN"/>
              </w:rPr>
              <w:t xml:space="preserve">……</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jc w:val="center"/>
              <w:spacing w:line="480" w:lineRule="exact"/>
              <w:rPr>
                <w:rFonts w:hint="eastAsia" w:eastAsiaTheme="minorEastAsia"/>
                <w:lang w:val="en-US" w:eastAsia="zh-CN"/>
              </w:rPr>
            </w:pPr>
            <w:r>
              <w:rPr>
                <w:rFonts w:hint="eastAsia" w:eastAsiaTheme="minorEastAsia"/>
                <w:lang w:val="en-US" w:eastAsia="zh-CN"/>
              </w:r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rPr>
                <w:rFonts w:hint="eastAsia" w:eastAsiaTheme="minorEastAsia"/>
                <w:lang w:eastAsia="zh-CN"/>
              </w:rPr>
            </w:pPr>
            <w:r>
              <w:rPr>
                <w:rFonts w:hint="eastAsia" w:eastAsiaTheme="minorEastAsia"/>
                <w:lang w:eastAsia="zh-CN"/>
              </w:r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r>
        <w:trPr>
          <w:trHeight w:val="270"/>
        </w:trPr>
        <w:tc>
          <w:tcPr>
            <w:tcBorders>
              <w:top w:val="none" w:color="000000" w:sz="4" w:space="0"/>
              <w:left w:val="single" w:color="auto" w:sz="4" w:space="0"/>
              <w:bottom w:val="single" w:color="auto" w:sz="4" w:space="0"/>
              <w:right w:val="single" w:color="auto" w:sz="4" w:space="0"/>
            </w:tcBorders>
            <w:tcW w:w="99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1" w:type="dxa"/>
            <w:vAlign w:val="center"/>
            <w:textDirection w:val="lrTb"/>
            <w:noWrap/>
          </w:tcPr>
          <w:p>
            <w:pPr>
              <w:spacing w:line="480" w:lineRule="exact"/>
            </w:pPr>
            <w:r>
              <w:rPr>
                <w:rFonts w:hint="default" w:eastAsia="宋体"/>
                <w:lang w:val="en-US" w:eastAsia="zh-CN"/>
              </w:rPr>
              <w:t xml:space="preserve">……</w:t>
            </w:r>
            <w:r/>
          </w:p>
        </w:tc>
        <w:tc>
          <w:tcPr>
            <w:tcBorders>
              <w:top w:val="none" w:color="000000" w:sz="4" w:space="0"/>
              <w:left w:val="none" w:color="000000" w:sz="4" w:space="0"/>
              <w:bottom w:val="single" w:color="auto" w:sz="4" w:space="0"/>
              <w:right w:val="single" w:color="auto" w:sz="4" w:space="0"/>
            </w:tcBorders>
            <w:tcW w:w="1886"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36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254" w:type="dxa"/>
            <w:vAlign w:val="center"/>
            <w:textDirection w:val="lrTb"/>
            <w:noWrap/>
          </w:tcPr>
          <w:p>
            <w:pPr>
              <w:spacing w:line="480" w:lineRule="exact"/>
            </w:pPr>
            <w:r/>
            <w:r/>
          </w:p>
        </w:tc>
        <w:tc>
          <w:tcPr>
            <w:tcBorders>
              <w:top w:val="none" w:color="000000" w:sz="4" w:space="0"/>
              <w:left w:val="none" w:color="000000" w:sz="4" w:space="0"/>
              <w:bottom w:val="single" w:color="auto" w:sz="4" w:space="0"/>
              <w:right w:val="single" w:color="auto" w:sz="4" w:space="0"/>
            </w:tcBorders>
            <w:tcW w:w="1418" w:type="dxa"/>
            <w:vAlign w:val="center"/>
            <w:textDirection w:val="lrTb"/>
            <w:noWrap/>
          </w:tcPr>
          <w:p>
            <w:pPr>
              <w:spacing w:line="480" w:lineRule="exact"/>
            </w:pPr>
            <w:r/>
            <w:r/>
          </w:p>
        </w:tc>
      </w:tr>
    </w:tbl>
    <w:p>
      <w:pPr>
        <w:pStyle w:val="645"/>
        <w:jc w:val="both"/>
        <w:spacing w:beforeAutospacing="0" w:afterAutospacing="0"/>
        <w:rPr>
          <w:highlight w:val="none"/>
        </w:rPr>
      </w:pPr>
      <w:r>
        <w:rPr>
          <w:highlight w:val="none"/>
        </w:rPr>
      </w:r>
      <w:r/>
    </w:p>
    <w:p>
      <w:pPr>
        <w:rPr>
          <w:rFonts w:hint="eastAsia" w:ascii="黑体" w:hAnsi="宋体" w:eastAsia="黑体" w:cs="黑体"/>
          <w:b/>
          <w:color w:val="000000"/>
          <w:sz w:val="32"/>
          <w:szCs w:val="32"/>
          <w:highlight w:val="none"/>
        </w:rPr>
      </w:pPr>
      <w:r>
        <w:rPr>
          <w:rFonts w:hint="eastAsia" w:ascii="宋体" w:hAnsi="宋体" w:eastAsia="宋体" w:cs="宋体"/>
          <w:b w:val="0"/>
          <w:bCs/>
          <w:color w:val="000000"/>
          <w:sz w:val="24"/>
          <w:szCs w:val="24"/>
          <w:highlight w:val="none"/>
          <w:lang w:val="en-US" w:eastAsia="zh-CN"/>
        </w:rPr>
        <w:t xml:space="preserve">备注：行数不够，可自行添加。</w:t>
      </w:r>
      <w:r>
        <w:rPr>
          <w:rFonts w:hint="eastAsia" w:ascii="宋体" w:hAnsi="宋体" w:eastAsia="宋体" w:cs="宋体"/>
          <w:b w:val="0"/>
          <w:bCs/>
          <w:color w:val="ff0000"/>
          <w:sz w:val="24"/>
          <w:szCs w:val="24"/>
          <w:highlight w:val="none"/>
          <w:lang w:val="en-US" w:eastAsia="zh-CN"/>
        </w:rPr>
        <w:t xml:space="preserve">投标时须提供上述人员的相关证书和其他证明材料。</w:t>
      </w:r>
      <w:r>
        <w:rPr>
          <w:rFonts w:hint="eastAsia" w:ascii="黑体" w:hAnsi="宋体" w:eastAsia="黑体" w:cs="黑体"/>
          <w:b/>
          <w:color w:val="000000"/>
          <w:sz w:val="32"/>
          <w:szCs w:val="32"/>
          <w:highlight w:val="none"/>
        </w:rPr>
        <w:br w:type="page" w:clear="all"/>
      </w:r>
      <w:r/>
    </w:p>
    <w:p>
      <w:pPr>
        <w:pStyle w:val="64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t xml:space="preserve">十二、投标分项报价表</w:t>
      </w:r>
      <w:r/>
    </w:p>
    <w:p>
      <w:pPr>
        <w:pStyle w:val="645"/>
        <w:jc w:val="both"/>
        <w:spacing w:beforeAutospacing="0" w:afterAutospacing="0"/>
        <w:rPr>
          <w:rFonts w:hint="eastAsia" w:ascii="宋体" w:hAnsi="宋体" w:cs="宋体"/>
          <w:sz w:val="21"/>
          <w:szCs w:val="21"/>
          <w:lang w:eastAsia="zh-CN"/>
        </w:rPr>
      </w:pPr>
      <w:r>
        <w:rPr>
          <w:rFonts w:hint="eastAsia" w:ascii="宋体" w:hAnsi="宋体" w:cs="宋体"/>
          <w:sz w:val="21"/>
          <w:szCs w:val="21"/>
        </w:rPr>
        <w:t xml:space="preserve">投标人全称（加盖CA电子签章）</w:t>
      </w:r>
      <w:r>
        <w:rPr>
          <w:rFonts w:hint="eastAsia" w:ascii="宋体" w:hAnsi="宋体" w:cs="宋体"/>
          <w:sz w:val="21"/>
          <w:szCs w:val="21"/>
          <w:lang w:eastAsia="zh-CN"/>
        </w:rPr>
        <w:t xml:space="preserve">：</w:t>
      </w:r>
      <w:r/>
    </w:p>
    <w:tbl>
      <w:tblPr>
        <w:tblStyle w:val="638"/>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ascii="宋体"/>
                <w:sz w:val="24"/>
                <w:highlight w:val="none"/>
              </w:rPr>
            </w:pPr>
            <w:r>
              <w:rPr>
                <w:rFonts w:ascii="宋体"/>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分项</w:t>
            </w:r>
            <w:r/>
          </w:p>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center"/>
              <w:spacing w:beforeAutospacing="0" w:afterAutospacing="0" w:line="0" w:lineRule="atLeast"/>
              <w:rPr>
                <w:highlight w:val="none"/>
              </w:rPr>
            </w:pPr>
            <w:r>
              <w:rPr>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center"/>
              <w:spacing w:beforeAutospacing="0" w:afterAutospacing="0" w:line="0" w:lineRule="atLeast"/>
              <w:rPr>
                <w:highlight w:val="none"/>
              </w:rPr>
            </w:pPr>
            <w:r>
              <w:rPr>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center"/>
              <w:spacing w:beforeAutospacing="0" w:afterAutospacing="0" w:line="0" w:lineRule="atLeast"/>
              <w:rPr>
                <w:highlight w:val="none"/>
              </w:rPr>
            </w:pPr>
            <w:r>
              <w:rPr>
                <w:highlight w:val="none"/>
              </w:rPr>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645"/>
              <w:jc w:val="center"/>
              <w:spacing w:beforeAutospacing="0" w:afterAutospacing="0" w:line="0" w:lineRule="atLeast"/>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center"/>
              <w:spacing w:beforeAutospacing="0" w:afterAutospacing="0" w:line="0" w:lineRule="atLeast"/>
              <w:rPr>
                <w:highlight w:val="none"/>
              </w:rPr>
            </w:pPr>
            <w:r>
              <w:rPr>
                <w:highlight w:val="none"/>
              </w:rPr>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645"/>
              <w:jc w:val="center"/>
              <w:spacing w:beforeAutospacing="0" w:afterAutospacing="0" w:line="0" w:lineRule="atLeast"/>
              <w:rPr>
                <w:highlight w:val="none"/>
              </w:rPr>
            </w:pPr>
            <w:r>
              <w:rPr>
                <w:rFonts w:hint="eastAsia" w:ascii="宋体" w:hAnsi="宋体" w:eastAsia="宋体" w:cs="宋体"/>
                <w:color w:val="000000"/>
                <w:highlight w:val="none"/>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645"/>
              <w:jc w:val="both"/>
              <w:spacing w:beforeAutospacing="0" w:afterAutospacing="0" w:line="0" w:lineRule="atLeast"/>
              <w:rPr>
                <w:highlight w:val="none"/>
              </w:rPr>
            </w:pPr>
            <w:r>
              <w:rPr>
                <w:highlight w:val="none"/>
              </w:rPr>
            </w:r>
            <w:r/>
          </w:p>
        </w:tc>
      </w:tr>
    </w:tbl>
    <w:p>
      <w:pPr>
        <w:pStyle w:val="645"/>
        <w:jc w:val="both"/>
        <w:spacing w:beforeAutospacing="0" w:afterAutospacing="0"/>
        <w:rPr>
          <w:rFonts w:hint="eastAsia" w:ascii="宋体" w:hAnsi="宋体" w:cs="宋体"/>
          <w:sz w:val="21"/>
          <w:szCs w:val="21"/>
          <w:lang w:eastAsia="zh-CN"/>
        </w:rPr>
      </w:pPr>
      <w:r>
        <w:rPr>
          <w:rFonts w:hint="eastAsia" w:ascii="宋体" w:hAnsi="宋体" w:cs="宋体"/>
          <w:sz w:val="21"/>
          <w:szCs w:val="21"/>
          <w:lang w:eastAsia="zh-CN"/>
        </w:rPr>
      </w:r>
      <w:r/>
    </w:p>
    <w:p>
      <w:pPr>
        <w:pStyle w:val="645"/>
        <w:ind w:firstLine="240"/>
        <w:jc w:val="both"/>
        <w:spacing w:beforeAutospacing="0" w:afterAutospacing="0" w:line="0" w:lineRule="atLeast"/>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备注：</w:t>
      </w:r>
      <w:r/>
    </w:p>
    <w:p>
      <w:pPr>
        <w:pStyle w:val="64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w:t>
      </w:r>
      <w:r>
        <w:rPr>
          <w:rFonts w:hint="eastAsia" w:ascii="宋体" w:hAnsi="宋体" w:eastAsia="宋体" w:cs="宋体"/>
          <w:color w:val="000000"/>
          <w:highlight w:val="none"/>
          <w:lang w:val="en-US" w:eastAsia="zh-CN"/>
        </w:rPr>
        <w:t xml:space="preserve">的其它所有费用，招标文件另有规定的除外。</w:t>
      </w:r>
      <w:r/>
    </w:p>
    <w:p>
      <w:pPr>
        <w:pStyle w:val="64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 “投标分项报价表”中“投标总报价”数额应当与“开标一览表”中“投标总报价”数额一致。</w:t>
      </w:r>
      <w:r/>
    </w:p>
    <w:p>
      <w:pPr>
        <w:pStyle w:val="645"/>
        <w:ind w:firstLine="480"/>
        <w:jc w:val="both"/>
        <w:spacing w:beforeAutospacing="0" w:afterAutospacing="0" w:line="0" w:lineRule="atLeast"/>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645"/>
        <w:ind w:firstLine="240"/>
        <w:jc w:val="both"/>
        <w:spacing w:beforeAutospacing="0" w:afterAutospacing="0" w:line="0" w:lineRule="atLeast"/>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r>
      <w:r/>
    </w:p>
    <w:p>
      <w:pPr>
        <w:pStyle w:val="645"/>
        <w:jc w:val="center"/>
        <w:spacing w:beforeAutospacing="0" w:afterAutospacing="0"/>
        <w:rPr>
          <w:highlight w:val="none"/>
        </w:rPr>
      </w:pPr>
      <w:r>
        <w:rPr>
          <w:highlight w:val="none"/>
        </w:rPr>
      </w:r>
      <w:r/>
    </w:p>
    <w:p>
      <w:pPr>
        <w:pStyle w:val="64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pStyle w:val="645"/>
        <w:jc w:val="center"/>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p>
      <w:pPr>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br w:type="page" w:clear="all"/>
      </w:r>
      <w:r/>
    </w:p>
    <w:p>
      <w:pPr>
        <w:pStyle w:val="645"/>
        <w:jc w:val="center"/>
        <w:spacing w:beforeAutospacing="0" w:afterAutospacing="0"/>
        <w:rPr>
          <w:highlight w:val="none"/>
        </w:rPr>
      </w:pPr>
      <w:r>
        <w:rPr>
          <w:rFonts w:hint="eastAsia" w:ascii="黑体" w:hAnsi="宋体" w:eastAsia="黑体" w:cs="黑体"/>
          <w:b/>
          <w:color w:val="000000"/>
          <w:sz w:val="32"/>
          <w:szCs w:val="32"/>
          <w:highlight w:val="none"/>
        </w:rPr>
        <w:t xml:space="preserve">十三、技术要求响应及偏离表</w:t>
      </w:r>
      <w:r/>
    </w:p>
    <w:tbl>
      <w:tblPr>
        <w:tblStyle w:val="6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4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645"/>
              <w:jc w:val="center"/>
              <w:spacing w:beforeAutospacing="0" w:afterAutospacing="0"/>
              <w:rPr>
                <w:highlight w:val="none"/>
              </w:rPr>
            </w:pPr>
            <w:r>
              <w:rPr>
                <w:highlight w:val="none"/>
              </w:rPr>
            </w:r>
            <w:r/>
          </w:p>
        </w:tc>
      </w:tr>
    </w:tbl>
    <w:p>
      <w:pPr>
        <w:pStyle w:val="64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pStyle w:val="645"/>
        <w:jc w:val="both"/>
        <w:spacing w:beforeAutospacing="0" w:afterAutospacing="0"/>
        <w:rPr>
          <w:highlight w:val="none"/>
        </w:rPr>
      </w:pPr>
      <w:r>
        <w:rPr>
          <w:highlight w:val="none"/>
        </w:rPr>
        <w:t xml:space="preserve"> </w:t>
      </w:r>
      <w:r/>
    </w:p>
    <w:p>
      <w:pPr>
        <w:rPr>
          <w:rFonts w:hint="eastAsia" w:ascii="黑体" w:hAnsi="宋体" w:eastAsia="黑体" w:cs="黑体"/>
          <w:b/>
          <w:color w:val="000000"/>
          <w:sz w:val="32"/>
          <w:szCs w:val="32"/>
          <w:highlight w:val="none"/>
        </w:rPr>
      </w:pPr>
      <w:r/>
      <w:bookmarkStart w:id="191" w:name="_Hlt26955054"/>
      <w:r>
        <w:rPr>
          <w:rFonts w:hint="eastAsia" w:ascii="黑体" w:hAnsi="宋体" w:eastAsia="黑体" w:cs="黑体"/>
          <w:b/>
          <w:color w:val="000000"/>
          <w:sz w:val="32"/>
          <w:szCs w:val="32"/>
          <w:highlight w:val="none"/>
        </w:rPr>
        <w:br w:type="page" w:clear="all"/>
      </w:r>
      <w:r/>
    </w:p>
    <w:p>
      <w:pPr>
        <w:pStyle w:val="645"/>
        <w:jc w:val="center"/>
        <w:spacing w:beforeAutospacing="0" w:afterAutospacing="0"/>
        <w:rPr>
          <w:highlight w:val="none"/>
        </w:rPr>
      </w:pPr>
      <w:r>
        <w:rPr>
          <w:rFonts w:hint="eastAsia" w:ascii="黑体" w:hAnsi="宋体" w:eastAsia="黑体" w:cs="黑体"/>
          <w:b/>
          <w:color w:val="000000"/>
          <w:sz w:val="32"/>
          <w:szCs w:val="32"/>
          <w:highlight w:val="none"/>
        </w:rPr>
        <w:t xml:space="preserve">十四、商务要求响应及偏离表</w:t>
      </w:r>
      <w:r/>
    </w:p>
    <w:tbl>
      <w:tblPr>
        <w:tblStyle w:val="63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bookmarkStart w:id="192" w:name="_Hlt26609391"/>
            <w:r/>
            <w:bookmarkStart w:id="193" w:name="_Hlt26671372"/>
            <w:r/>
            <w:bookmarkStart w:id="194" w:name="_Hlt26955064"/>
            <w:r/>
            <w:bookmarkStart w:id="195" w:name="_Hlt26671343"/>
            <w:r/>
            <w:bookmarkStart w:id="196" w:name="_Hlt26955056"/>
            <w:r/>
            <w:bookmarkStart w:id="197" w:name="_Hlt24879081"/>
            <w:r/>
            <w:bookmarkStart w:id="198" w:name="_Hlt26782999"/>
            <w:r/>
            <w:bookmarkStart w:id="199" w:name="_Hlt26580838"/>
            <w:r>
              <w:rPr>
                <w:rFonts w:hint="eastAsia" w:ascii="宋体" w:hAnsi="宋体" w:eastAsia="宋体" w:cs="宋体"/>
                <w:color w:val="000000"/>
                <w:highlight w:val="none"/>
              </w:rPr>
              <w:t xml:space="preserve">序号</w:t>
            </w:r>
            <w:bookmarkEnd w:id="192"/>
            <w:bookmarkEnd w:id="193"/>
            <w:bookmarkEnd w:id="194"/>
            <w:bookmarkEnd w:id="195"/>
            <w:bookmarkEnd w:id="196"/>
            <w:bookmarkEnd w:id="197"/>
            <w:bookmarkEnd w:id="198"/>
            <w:bookmarkEnd w:id="199"/>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rFonts w:hint="eastAsia" w:ascii="宋体" w:hAnsi="宋体" w:eastAsia="宋体" w:cs="宋体"/>
                <w:color w:val="000000"/>
                <w:highlight w:val="none"/>
              </w:rPr>
              <w:t xml:space="preserve">证明</w:t>
            </w:r>
            <w:r/>
          </w:p>
          <w:p>
            <w:pPr>
              <w:pStyle w:val="645"/>
              <w:jc w:val="center"/>
              <w:spacing w:beforeAutospacing="0" w:afterAutospacing="0"/>
              <w:rPr>
                <w:highlight w:val="none"/>
              </w:rPr>
            </w:pPr>
            <w:r>
              <w:rPr>
                <w:rFonts w:hint="eastAsia" w:ascii="宋体" w:hAnsi="宋体" w:eastAsia="宋体" w:cs="宋体"/>
                <w:color w:val="000000"/>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645"/>
              <w:jc w:val="center"/>
              <w:spacing w:beforeAutospacing="0" w:afterAutospacing="0"/>
              <w:rPr>
                <w:highlight w:val="none"/>
              </w:rPr>
            </w:pPr>
            <w:r>
              <w:rPr>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645"/>
              <w:jc w:val="center"/>
              <w:spacing w:beforeAutospacing="0" w:afterAutospacing="0"/>
              <w:rPr>
                <w:highlight w:val="none"/>
              </w:rPr>
            </w:pPr>
            <w:r>
              <w:rPr>
                <w:highlight w:val="none"/>
              </w:rPr>
            </w:r>
            <w:r/>
          </w:p>
        </w:tc>
      </w:tr>
    </w:tbl>
    <w:p>
      <w:pPr>
        <w:pStyle w:val="645"/>
        <w:jc w:val="both"/>
        <w:spacing w:beforeAutospacing="0" w:afterAutospacing="0"/>
        <w:rPr>
          <w:highlight w:val="none"/>
        </w:rPr>
      </w:pPr>
      <w:r>
        <w:rPr>
          <w:rFonts w:hint="eastAsia" w:ascii="宋体" w:hAnsi="宋体" w:eastAsia="宋体" w:cs="宋体"/>
          <w:color w:val="000000"/>
          <w:highlight w:val="none"/>
        </w:rPr>
        <w:t xml:space="preserve">注： 行数不够，可自行添加。</w:t>
      </w:r>
      <w:r/>
    </w:p>
    <w:p>
      <w:pPr>
        <w:pStyle w:val="645"/>
        <w:jc w:val="both"/>
        <w:spacing w:beforeAutospacing="0" w:afterAutospacing="0"/>
        <w:rPr>
          <w:highlight w:val="none"/>
        </w:rPr>
      </w:pPr>
      <w:r/>
      <w:bookmarkStart w:id="200" w:name="_Hlt26671374"/>
      <w:r/>
      <w:bookmarkStart w:id="201" w:name="_Toc462564146"/>
      <w:r/>
      <w:bookmarkStart w:id="202" w:name="_Hlt26955066"/>
      <w:r/>
      <w:bookmarkStart w:id="203" w:name="_Hlt26609389"/>
      <w:r/>
      <w:bookmarkStart w:id="204" w:name="_格式2__法定代表人授权书"/>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pStyle w:val="645"/>
        <w:jc w:val="both"/>
        <w:spacing w:beforeAutospacing="0" w:afterAutospacing="0"/>
        <w:rPr>
          <w:highlight w:val="none"/>
        </w:rPr>
      </w:pPr>
      <w:r>
        <w:rPr>
          <w:highlight w:val="none"/>
        </w:rPr>
      </w:r>
      <w:r/>
    </w:p>
    <w:p>
      <w:pPr>
        <w:rPr>
          <w:rFonts w:hint="eastAsia" w:ascii="黑体" w:hAnsi="宋体" w:eastAsia="黑体" w:cs="黑体"/>
          <w:b/>
          <w:i/>
          <w:color w:val="auto"/>
          <w:sz w:val="32"/>
          <w:szCs w:val="32"/>
          <w:highlight w:val="none"/>
          <w:u w:val="single"/>
        </w:rPr>
      </w:pPr>
      <w:r>
        <w:rPr>
          <w:rFonts w:hint="eastAsia" w:ascii="黑体" w:hAnsi="宋体" w:eastAsia="黑体" w:cs="黑体"/>
          <w:b/>
          <w:i/>
          <w:color w:val="auto"/>
          <w:sz w:val="32"/>
          <w:szCs w:val="32"/>
          <w:highlight w:val="none"/>
          <w:u w:val="single"/>
        </w:rPr>
        <w:br w:type="page" w:clear="all"/>
      </w:r>
      <w:r/>
    </w:p>
    <w:p>
      <w:pPr>
        <w:pStyle w:val="645"/>
        <w:jc w:val="both"/>
        <w:spacing w:beforeAutospacing="0" w:afterAutospacing="0"/>
        <w:rPr>
          <w:color w:val="auto"/>
          <w:highlight w:val="none"/>
        </w:rPr>
      </w:pPr>
      <w:r>
        <w:rPr>
          <w:rFonts w:hint="eastAsia" w:ascii="黑体" w:hAnsi="宋体" w:eastAsia="黑体" w:cs="黑体"/>
          <w:b/>
          <w:i/>
          <w:color w:val="auto"/>
          <w:sz w:val="32"/>
          <w:szCs w:val="32"/>
          <w:highlight w:val="none"/>
          <w:u w:val="single"/>
        </w:rPr>
        <w:t xml:space="preserve">十五、开标一览表</w:t>
      </w:r>
      <w:r/>
    </w:p>
    <w:p>
      <w:pPr>
        <w:pStyle w:val="645"/>
        <w:ind w:firstLine="480"/>
        <w:jc w:val="both"/>
        <w:spacing w:beforeAutospacing="0" w:afterAutospacing="0"/>
        <w:rPr>
          <w:color w:val="auto"/>
          <w:highlight w:val="none"/>
        </w:rPr>
      </w:pPr>
      <w:r>
        <w:rPr>
          <w:rFonts w:hint="eastAsia" w:ascii="宋体" w:hAnsi="宋体" w:eastAsia="宋体" w:cs="宋体"/>
          <w:color w:val="auto"/>
          <w:highlight w:val="none"/>
        </w:rPr>
        <w:t xml:space="preserve">投标人全称（加盖CA电子签章）：</w:t>
      </w:r>
      <w:r/>
    </w:p>
    <w:p>
      <w:pPr>
        <w:pStyle w:val="645"/>
        <w:ind w:firstLine="480"/>
        <w:jc w:val="both"/>
        <w:spacing w:beforeAutospacing="0" w:afterAutospacing="0"/>
        <w:rPr>
          <w:color w:val="auto"/>
          <w:highlight w:val="none"/>
        </w:rPr>
      </w:pPr>
      <w:r>
        <w:rPr>
          <w:rFonts w:hint="eastAsia" w:ascii="宋体" w:hAnsi="宋体" w:eastAsia="宋体" w:cs="宋体"/>
          <w:color w:val="auto"/>
          <w:highlight w:val="none"/>
        </w:rPr>
        <w:t xml:space="preserve">项目名称：</w:t>
      </w:r>
      <w:r/>
    </w:p>
    <w:p>
      <w:pPr>
        <w:pStyle w:val="64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项目</w:t>
      </w:r>
      <w:r>
        <w:rPr>
          <w:rFonts w:hint="eastAsia" w:ascii="宋体" w:hAnsi="宋体" w:eastAsia="宋体" w:cs="宋体"/>
          <w:color w:val="auto"/>
          <w:highlight w:val="none"/>
        </w:rPr>
        <w:t xml:space="preserve">编号：</w:t>
      </w:r>
      <w:r/>
    </w:p>
    <w:p>
      <w:pPr>
        <w:pStyle w:val="645"/>
        <w:ind w:firstLine="480"/>
        <w:jc w:val="both"/>
        <w:spacing w:beforeAutospacing="0" w:afterAutospacing="0"/>
        <w:rPr>
          <w:color w:val="auto"/>
          <w:highlight w:val="none"/>
        </w:rPr>
      </w:pPr>
      <w:r>
        <w:rPr>
          <w:rFonts w:hint="eastAsia" w:ascii="宋体" w:hAnsi="宋体" w:eastAsia="宋体" w:cs="宋体"/>
          <w:color w:val="auto"/>
          <w:highlight w:val="none"/>
        </w:rPr>
        <w:t xml:space="preserve">分包号：</w:t>
      </w:r>
      <w:r/>
    </w:p>
    <w:tbl>
      <w:tblPr>
        <w:tblStyle w:val="638"/>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5"/>
              <w:jc w:val="center"/>
              <w:spacing w:beforeAutospacing="0" w:afterAutospacing="0"/>
              <w:rPr>
                <w:color w:val="auto"/>
                <w:highlight w:val="none"/>
              </w:rPr>
            </w:pPr>
            <w:r>
              <w:rPr>
                <w:rFonts w:hint="eastAsia" w:ascii="宋体" w:hAnsi="宋体" w:eastAsia="宋体" w:cs="宋体"/>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5"/>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645"/>
              <w:spacing w:beforeAutospacing="0" w:afterAutospacing="0" w:line="0" w:lineRule="atLeast"/>
              <w:rPr>
                <w:color w:val="auto"/>
                <w:highlight w:val="none"/>
              </w:rPr>
            </w:pPr>
            <w:r>
              <w:rPr>
                <w:rFonts w:hint="eastAsia" w:ascii="宋体" w:hAnsi="宋体" w:eastAsia="宋体" w:cs="宋体"/>
                <w:color w:val="auto"/>
                <w:highlight w:val="none"/>
              </w:rPr>
              <w:t xml:space="preserve">小写：</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 xml:space="preserve"> （人民币：元）</w:t>
            </w:r>
            <w:r/>
          </w:p>
        </w:tc>
      </w:tr>
    </w:tbl>
    <w:p>
      <w:pPr>
        <w:pStyle w:val="645"/>
        <w:ind w:firstLine="480"/>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45"/>
        <w:ind w:firstLine="480"/>
        <w:jc w:val="both"/>
        <w:spacing w:beforeAutospacing="0" w:afterAutospacing="0"/>
        <w:rPr>
          <w:color w:val="auto"/>
          <w:highlight w:val="none"/>
        </w:rPr>
      </w:pPr>
      <w:r>
        <w:rPr>
          <w:rFonts w:hint="eastAsia" w:ascii="宋体" w:hAnsi="宋体" w:eastAsia="宋体" w:cs="宋体"/>
          <w:color w:val="auto"/>
          <w:highlight w:val="none"/>
        </w:rPr>
        <w:t xml:space="preserve"> 日期：</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年</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月</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日</w:t>
      </w:r>
      <w:r/>
    </w:p>
    <w:p>
      <w:pPr>
        <w:pStyle w:val="645"/>
        <w:ind w:firstLine="480"/>
        <w:jc w:val="both"/>
        <w:spacing w:beforeAutospacing="0" w:afterAutospacing="0"/>
        <w:rPr>
          <w:highlight w:val="none"/>
        </w:rPr>
      </w:pPr>
      <w:r>
        <w:rPr>
          <w:highlight w:val="none"/>
        </w:rPr>
      </w:r>
      <w:r/>
    </w:p>
    <w:p>
      <w:pPr>
        <w:jc w:val="center"/>
        <w:spacing w:before="50" w:after="50"/>
        <w:widowControl/>
        <w:rPr>
          <w:highlight w:val="none"/>
        </w:rPr>
      </w:pPr>
      <w:r>
        <w:rPr>
          <w:highlight w:val="none"/>
        </w:rPr>
        <w:tab/>
      </w:r>
      <w:r/>
    </w:p>
    <w:p>
      <w:pPr>
        <w:jc w:val="center"/>
        <w:spacing w:before="50" w:after="50"/>
        <w:widowControl/>
        <w:rPr>
          <w:highlight w:val="none"/>
        </w:rPr>
      </w:pPr>
      <w:r>
        <w:rPr>
          <w:highlight w:val="none"/>
        </w:rPr>
      </w:r>
      <w:r/>
    </w:p>
    <w:p>
      <w:pPr>
        <w:jc w:val="both"/>
        <w:spacing w:before="50" w:after="50"/>
        <w:widowControl/>
        <w:rPr>
          <w:rFonts w:hint="default" w:eastAsiaTheme="minorEastAsia"/>
          <w:highlight w:val="none"/>
          <w:lang w:val="en-US" w:eastAsia="zh-CN"/>
        </w:rPr>
      </w:pPr>
      <w:r>
        <w:rPr>
          <w:rFonts w:hint="default" w:eastAsiaTheme="minorEastAsia"/>
          <w:highlight w:val="none"/>
          <w:lang w:val="en-US" w:eastAsia="zh-CN"/>
        </w:rPr>
      </w:r>
      <w:r/>
    </w:p>
    <w:p>
      <w:pPr>
        <w:jc w:val="center"/>
        <w:spacing w:before="50" w:after="50"/>
        <w:widowControl/>
        <w:rPr>
          <w:highlight w:val="none"/>
        </w:rPr>
      </w:pPr>
      <w:r>
        <w:rPr>
          <w:highlight w:val="none"/>
        </w:rPr>
      </w:r>
      <w:r/>
    </w:p>
    <w:p>
      <w:pPr>
        <w:pStyle w:val="647"/>
        <w:rPr>
          <w:highlight w:val="none"/>
        </w:rPr>
      </w:pPr>
      <w:r>
        <w:rPr>
          <w:highlight w:val="none"/>
        </w:rPr>
      </w:r>
      <w:r/>
    </w:p>
    <w:p>
      <w:pPr>
        <w:pStyle w:val="647"/>
        <w:rPr>
          <w:highlight w:val="none"/>
        </w:rPr>
      </w:pPr>
      <w:r>
        <w:rPr>
          <w:highlight w:val="none"/>
        </w:rPr>
      </w:r>
      <w:r/>
    </w:p>
    <w:p>
      <w:pPr>
        <w:pStyle w:val="647"/>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jc w:val="center"/>
        <w:spacing w:before="50" w:after="50"/>
        <w:widowControl/>
        <w:rPr>
          <w:highlight w:val="none"/>
        </w:rPr>
      </w:pPr>
      <w:r>
        <w:rPr>
          <w:highlight w:val="none"/>
        </w:rPr>
      </w:r>
      <w:r/>
    </w:p>
    <w:p>
      <w:pPr>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ind w:firstLine="1600"/>
        <w:spacing w:line="499" w:lineRule="atLeast"/>
        <w:widowControl/>
        <w:rPr>
          <w:rFonts w:ascii="宋体" w:hAnsi="宋体" w:eastAsia="宋体" w:cs="宋体"/>
          <w:b/>
          <w:bCs/>
          <w:sz w:val="24"/>
          <w:highlight w:val="none"/>
        </w:rPr>
      </w:pPr>
      <w:r>
        <w:rPr>
          <w:rFonts w:hint="eastAsia" w:ascii="宋体" w:hAnsi="宋体" w:eastAsia="宋体" w:cs="宋体"/>
          <w:b/>
          <w:bCs/>
          <w:color w:val="000000"/>
          <w:sz w:val="32"/>
          <w:szCs w:val="32"/>
          <w:highlight w:val="none"/>
        </w:rPr>
        <w:t xml:space="preserve">十六、盐城市政府采购事前信用承诺书</w:t>
      </w:r>
      <w:r/>
    </w:p>
    <w:p>
      <w:pPr>
        <w:jc w:val="left"/>
        <w:spacing w:line="499" w:lineRule="atLeast"/>
        <w:widowControl/>
        <w:rPr>
          <w:rFonts w:ascii="宋体" w:hAnsi="宋体" w:eastAsia="宋体" w:cs="宋体"/>
          <w:sz w:val="24"/>
          <w:highlight w:val="none"/>
        </w:rPr>
      </w:pPr>
      <w:r>
        <w:rPr>
          <w:rFonts w:ascii="宋体" w:hAnsi="宋体" w:eastAsia="宋体" w:cs="宋体"/>
          <w:sz w:val="24"/>
          <w:highlight w:val="none"/>
        </w:rPr>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（四）严格遵守即时信息公示规定，及时维护和更新维护和更新盐城市政府采购网中与本单位相关的信息；</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（六）自觉接受政府、行业组织、社会公众、新闻舆论的监督；</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（八）本人已认真阅读了上述承诺，并向本单位员工作了宣传教育。</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法定代表人签名：</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单位名称（盖章）：</w:t>
      </w:r>
      <w:r/>
    </w:p>
    <w:p>
      <w:pPr>
        <w:jc w:val="center"/>
        <w:spacing w:line="499" w:lineRule="atLeast"/>
        <w:widowControl/>
        <w:rPr>
          <w:rFonts w:ascii="宋体" w:hAnsi="宋体" w:eastAsia="宋体" w:cs="宋体"/>
          <w:sz w:val="24"/>
          <w:highlight w:val="none"/>
        </w:rPr>
      </w:pPr>
      <w:r>
        <w:rPr>
          <w:rFonts w:hint="eastAsia" w:ascii="宋体" w:hAnsi="宋体" w:eastAsia="宋体" w:cs="宋体"/>
          <w:color w:val="000000"/>
          <w:sz w:val="24"/>
          <w:highlight w:val="none"/>
        </w:rPr>
        <w:t xml:space="preserve">年月日</w:t>
      </w:r>
      <w:r/>
    </w:p>
    <w:p>
      <w:pPr>
        <w:pStyle w:val="645"/>
        <w:jc w:val="center"/>
        <w:spacing w:beforeAutospacing="0" w:afterAutospacing="0"/>
        <w:rPr>
          <w:highlight w:val="none"/>
        </w:rPr>
      </w:pPr>
      <w:r>
        <w:rPr>
          <w:highlight w:val="none"/>
        </w:rPr>
      </w:r>
      <w:bookmarkEnd w:id="31"/>
      <w:bookmarkEnd w:id="46"/>
      <w:bookmarkEnd w:id="91"/>
      <w:bookmarkEnd w:id="92"/>
      <w:bookmarkEnd w:id="93"/>
      <w:bookmarkEnd w:id="96"/>
      <w:bookmarkEnd w:id="97"/>
      <w:bookmarkEnd w:id="98"/>
      <w:bookmarkEnd w:id="99"/>
      <w:bookmarkEnd w:id="100"/>
      <w:bookmarkEnd w:id="101"/>
      <w:bookmarkEnd w:id="102"/>
      <w:bookmarkEnd w:id="103"/>
      <w:bookmarkEnd w:id="104"/>
      <w:bookmarkEnd w:id="105"/>
      <w:bookmarkEnd w:id="106"/>
      <w:bookmarkEnd w:id="107"/>
      <w:bookmarkEnd w:id="108"/>
      <w:bookmarkEnd w:id="113"/>
      <w:bookmarkEnd w:id="114"/>
      <w:bookmarkEnd w:id="115"/>
      <w:bookmarkEnd w:id="120"/>
      <w:bookmarkEnd w:id="121"/>
      <w:bookmarkEnd w:id="128"/>
      <w:bookmarkEnd w:id="180"/>
      <w:bookmarkEnd w:id="181"/>
      <w:bookmarkEnd w:id="185"/>
      <w:bookmarkEnd w:id="186"/>
      <w:bookmarkEnd w:id="188"/>
      <w:bookmarkEnd w:id="189"/>
      <w:bookmarkEnd w:id="190"/>
      <w:bookmarkEnd w:id="191"/>
      <w:bookmarkEnd w:id="200"/>
      <w:bookmarkEnd w:id="201"/>
      <w:bookmarkEnd w:id="202"/>
      <w:bookmarkEnd w:id="203"/>
      <w:bookmarkEnd w:id="204"/>
      <w:r/>
    </w:p>
    <w:p>
      <w:pPr>
        <w:rPr>
          <w:highlight w:val="none"/>
        </w:rPr>
      </w:pPr>
      <w:r>
        <w:rPr>
          <w:highlight w:val="none"/>
        </w:rPr>
      </w:r>
      <w:r/>
    </w:p>
    <w:p>
      <w:pPr>
        <w:pStyle w:val="645"/>
        <w:jc w:val="center"/>
        <w:spacing w:beforeAutospacing="0" w:afterAutospacing="0"/>
        <w:rPr>
          <w:rFonts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645"/>
        <w:jc w:val="both"/>
        <w:spacing w:before="290"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一、质疑供应商基本信息</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二、质疑项目基本情况</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三、质疑事项具体内容</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质疑事项2</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四、与质疑事项相关的质疑请求</w:t>
      </w:r>
      <w:r/>
    </w:p>
    <w:p>
      <w:pPr>
        <w:pStyle w:val="645"/>
        <w:jc w:val="both"/>
        <w:spacing w:beforeAutospacing="0" w:afterAutospacing="0" w:line="360" w:lineRule="auto"/>
        <w:rPr>
          <w:rFonts w:ascii="宋体" w:hAnsi="宋体" w:eastAsia="宋体" w:cs="宋体"/>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 </w:t>
      </w:r>
      <w:r/>
    </w:p>
    <w:p>
      <w:pPr>
        <w:pStyle w:val="645"/>
        <w:jc w:val="both"/>
        <w:spacing w:beforeAutospacing="0" w:afterAutospacing="0"/>
        <w:rPr>
          <w:rFonts w:ascii="宋体" w:hAnsi="宋体" w:eastAsia="宋体" w:cs="宋体"/>
          <w:highlight w:val="none"/>
        </w:rPr>
      </w:pPr>
      <w:r>
        <w:rPr>
          <w:rFonts w:hint="eastAsia" w:ascii="宋体" w:hAnsi="宋体" w:eastAsia="宋体" w:cs="宋体"/>
          <w:color w:val="000000"/>
          <w:highlight w:val="none"/>
        </w:rPr>
        <w:t xml:space="preserve">签字(签章)：               公章：             日期： </w:t>
      </w:r>
      <w:r/>
    </w:p>
    <w:p>
      <w:pPr>
        <w:pStyle w:val="645"/>
        <w:jc w:val="both"/>
        <w:spacing w:beforeAutospacing="0" w:afterAutospacing="0" w:line="0" w:lineRule="atLeast"/>
        <w:rPr>
          <w:rFonts w:ascii="宋体" w:hAnsi="宋体" w:eastAsia="宋体" w:cs="宋体"/>
          <w:highlight w:val="none"/>
        </w:rPr>
      </w:pPr>
      <w:r>
        <w:rPr>
          <w:rFonts w:hint="eastAsia" w:ascii="宋体" w:hAnsi="宋体" w:eastAsia="宋体" w:cs="宋体"/>
          <w:b/>
          <w:color w:val="000000"/>
          <w:highlight w:val="none"/>
        </w:rPr>
        <w:t xml:space="preserve">质疑函制作说明：</w:t>
      </w:r>
      <w:r/>
    </w:p>
    <w:p>
      <w:pPr>
        <w:pStyle w:val="64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1.供应商提出质疑时，应提交质疑函和必要的证明材料。</w:t>
      </w:r>
      <w:r/>
    </w:p>
    <w:p>
      <w:pPr>
        <w:pStyle w:val="64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4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64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64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5.质疑函的质疑请求应与质疑事项相关。</w:t>
      </w:r>
      <w:r/>
    </w:p>
    <w:p>
      <w:pPr>
        <w:pStyle w:val="645"/>
        <w:ind w:firstLine="480"/>
        <w:spacing w:beforeAutospacing="0" w:afterAutospacing="0" w:line="0" w:lineRule="atLeast"/>
        <w:widowControl/>
        <w:rPr>
          <w:rFonts w:ascii="宋体" w:hAnsi="宋体" w:eastAsia="宋体" w:cs="宋体"/>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645"/>
        <w:ind w:firstLine="420"/>
        <w:jc w:val="both"/>
        <w:spacing w:beforeAutospacing="0" w:afterAutospacing="0"/>
        <w:rPr>
          <w:rFonts w:ascii="宋体" w:hAnsi="宋体" w:eastAsia="宋体" w:cs="宋体"/>
          <w:highlight w:val="none"/>
        </w:rPr>
      </w:pPr>
      <w:r>
        <w:rPr>
          <w:rFonts w:ascii="宋体" w:hAnsi="宋体" w:eastAsia="宋体" w:cs="宋体"/>
          <w:highlight w:val="none"/>
        </w:rPr>
      </w:r>
      <w:r/>
    </w:p>
    <w:p>
      <w:pPr>
        <w:rPr>
          <w:highlight w:val="none"/>
        </w:rPr>
      </w:pPr>
      <w:r>
        <w:rPr>
          <w:highlight w:val="none"/>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等线">
    <w:panose1 w:val="0201060003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5"/>
    <w:next w:val="63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37"/>
    <w:link w:val="12"/>
    <w:uiPriority w:val="9"/>
    <w:rPr>
      <w:rFonts w:ascii="Arial" w:hAnsi="Arial" w:eastAsia="Arial" w:cs="Arial"/>
      <w:sz w:val="40"/>
      <w:szCs w:val="40"/>
    </w:rPr>
  </w:style>
  <w:style w:type="character" w:styleId="15">
    <w:name w:val="Heading 2 Char"/>
    <w:basedOn w:val="637"/>
    <w:link w:val="636"/>
    <w:uiPriority w:val="9"/>
    <w:rPr>
      <w:rFonts w:ascii="Arial" w:hAnsi="Arial" w:eastAsia="Arial" w:cs="Arial"/>
      <w:sz w:val="34"/>
    </w:rPr>
  </w:style>
  <w:style w:type="paragraph" w:styleId="16">
    <w:name w:val="Heading 3"/>
    <w:basedOn w:val="635"/>
    <w:next w:val="63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637"/>
    <w:link w:val="16"/>
    <w:uiPriority w:val="9"/>
    <w:rPr>
      <w:rFonts w:ascii="Arial" w:hAnsi="Arial" w:eastAsia="Arial" w:cs="Arial"/>
      <w:sz w:val="30"/>
      <w:szCs w:val="30"/>
    </w:rPr>
  </w:style>
  <w:style w:type="paragraph" w:styleId="18">
    <w:name w:val="Heading 4"/>
    <w:basedOn w:val="635"/>
    <w:next w:val="63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37"/>
    <w:link w:val="18"/>
    <w:uiPriority w:val="9"/>
    <w:rPr>
      <w:rFonts w:ascii="Arial" w:hAnsi="Arial" w:eastAsia="Arial" w:cs="Arial"/>
      <w:b/>
      <w:bCs/>
      <w:sz w:val="26"/>
      <w:szCs w:val="26"/>
    </w:rPr>
  </w:style>
  <w:style w:type="paragraph" w:styleId="20">
    <w:name w:val="Heading 5"/>
    <w:basedOn w:val="635"/>
    <w:next w:val="63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37"/>
    <w:link w:val="20"/>
    <w:uiPriority w:val="9"/>
    <w:rPr>
      <w:rFonts w:ascii="Arial" w:hAnsi="Arial" w:eastAsia="Arial" w:cs="Arial"/>
      <w:b/>
      <w:bCs/>
      <w:sz w:val="24"/>
      <w:szCs w:val="24"/>
    </w:rPr>
  </w:style>
  <w:style w:type="paragraph" w:styleId="22">
    <w:name w:val="Heading 6"/>
    <w:basedOn w:val="635"/>
    <w:next w:val="63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37"/>
    <w:link w:val="22"/>
    <w:uiPriority w:val="9"/>
    <w:rPr>
      <w:rFonts w:ascii="Arial" w:hAnsi="Arial" w:eastAsia="Arial" w:cs="Arial"/>
      <w:b/>
      <w:bCs/>
      <w:sz w:val="22"/>
      <w:szCs w:val="22"/>
    </w:rPr>
  </w:style>
  <w:style w:type="paragraph" w:styleId="24">
    <w:name w:val="Heading 7"/>
    <w:basedOn w:val="635"/>
    <w:next w:val="63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37"/>
    <w:link w:val="24"/>
    <w:uiPriority w:val="9"/>
    <w:rPr>
      <w:rFonts w:ascii="Arial" w:hAnsi="Arial" w:eastAsia="Arial" w:cs="Arial"/>
      <w:b/>
      <w:bCs/>
      <w:i/>
      <w:iCs/>
      <w:sz w:val="22"/>
      <w:szCs w:val="22"/>
    </w:rPr>
  </w:style>
  <w:style w:type="paragraph" w:styleId="26">
    <w:name w:val="Heading 8"/>
    <w:basedOn w:val="635"/>
    <w:next w:val="63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37"/>
    <w:link w:val="26"/>
    <w:uiPriority w:val="9"/>
    <w:rPr>
      <w:rFonts w:ascii="Arial" w:hAnsi="Arial" w:eastAsia="Arial" w:cs="Arial"/>
      <w:i/>
      <w:iCs/>
      <w:sz w:val="22"/>
      <w:szCs w:val="22"/>
    </w:rPr>
  </w:style>
  <w:style w:type="paragraph" w:styleId="28">
    <w:name w:val="Heading 9"/>
    <w:basedOn w:val="635"/>
    <w:next w:val="63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37"/>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35"/>
    <w:next w:val="635"/>
    <w:link w:val="34"/>
    <w:uiPriority w:val="10"/>
    <w:qFormat/>
    <w:pPr>
      <w:contextualSpacing/>
      <w:spacing w:before="300" w:after="200"/>
    </w:pPr>
    <w:rPr>
      <w:sz w:val="48"/>
      <w:szCs w:val="48"/>
    </w:rPr>
  </w:style>
  <w:style w:type="character" w:styleId="34">
    <w:name w:val="Title Char"/>
    <w:basedOn w:val="637"/>
    <w:link w:val="33"/>
    <w:uiPriority w:val="10"/>
    <w:rPr>
      <w:sz w:val="48"/>
      <w:szCs w:val="48"/>
    </w:rPr>
  </w:style>
  <w:style w:type="paragraph" w:styleId="35">
    <w:name w:val="Subtitle"/>
    <w:basedOn w:val="635"/>
    <w:next w:val="635"/>
    <w:link w:val="36"/>
    <w:uiPriority w:val="11"/>
    <w:qFormat/>
    <w:pPr>
      <w:spacing w:before="200" w:after="200"/>
    </w:pPr>
    <w:rPr>
      <w:sz w:val="24"/>
      <w:szCs w:val="24"/>
    </w:rPr>
  </w:style>
  <w:style w:type="character" w:styleId="36">
    <w:name w:val="Subtitle Char"/>
    <w:basedOn w:val="637"/>
    <w:link w:val="35"/>
    <w:uiPriority w:val="11"/>
    <w:rPr>
      <w:sz w:val="24"/>
      <w:szCs w:val="24"/>
    </w:rPr>
  </w:style>
  <w:style w:type="paragraph" w:styleId="37">
    <w:name w:val="Quote"/>
    <w:basedOn w:val="635"/>
    <w:next w:val="635"/>
    <w:link w:val="38"/>
    <w:uiPriority w:val="29"/>
    <w:qFormat/>
    <w:pPr>
      <w:ind w:left="720" w:right="720"/>
    </w:pPr>
    <w:rPr>
      <w:i/>
    </w:rPr>
  </w:style>
  <w:style w:type="character" w:styleId="38">
    <w:name w:val="Quote Char"/>
    <w:link w:val="37"/>
    <w:uiPriority w:val="29"/>
    <w:rPr>
      <w:i/>
    </w:rPr>
  </w:style>
  <w:style w:type="paragraph" w:styleId="39">
    <w:name w:val="Intense Quote"/>
    <w:basedOn w:val="635"/>
    <w:next w:val="63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37"/>
    <w:link w:val="644"/>
    <w:uiPriority w:val="99"/>
  </w:style>
  <w:style w:type="character" w:styleId="44">
    <w:name w:val="Footer Char"/>
    <w:basedOn w:val="637"/>
    <w:link w:val="643"/>
    <w:uiPriority w:val="99"/>
  </w:style>
  <w:style w:type="paragraph" w:styleId="45">
    <w:name w:val="Caption"/>
    <w:basedOn w:val="635"/>
    <w:next w:val="635"/>
    <w:uiPriority w:val="35"/>
    <w:semiHidden/>
    <w:unhideWhenUsed/>
    <w:qFormat/>
    <w:pPr>
      <w:spacing w:line="276" w:lineRule="auto"/>
    </w:pPr>
    <w:rPr>
      <w:b/>
      <w:bCs/>
      <w:color w:val="4f81bd" w:themeColor="accent1"/>
      <w:sz w:val="18"/>
      <w:szCs w:val="18"/>
    </w:rPr>
  </w:style>
  <w:style w:type="character" w:styleId="46">
    <w:name w:val="Caption Char"/>
    <w:basedOn w:val="45"/>
    <w:link w:val="643"/>
    <w:uiPriority w:val="99"/>
  </w:style>
  <w:style w:type="table" w:styleId="48">
    <w:name w:val="Table Grid Light"/>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3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3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3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3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3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3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3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3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3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3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3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3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3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3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3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3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3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3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3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3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3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3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38"/>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38"/>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38"/>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38"/>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38"/>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38"/>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3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3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3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3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3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3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3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3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3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3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3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3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3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3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3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3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3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3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3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3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3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3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3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3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3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3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3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3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3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3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3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3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3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3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3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3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3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3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3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3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3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3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3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3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3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3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3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3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3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3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3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3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37"/>
    <w:uiPriority w:val="99"/>
    <w:unhideWhenUsed/>
    <w:rPr>
      <w:vertAlign w:val="superscript"/>
    </w:rPr>
  </w:style>
  <w:style w:type="paragraph" w:styleId="177">
    <w:name w:val="endnote text"/>
    <w:basedOn w:val="63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37"/>
    <w:uiPriority w:val="99"/>
    <w:semiHidden/>
    <w:unhideWhenUsed/>
    <w:rPr>
      <w:vertAlign w:val="superscript"/>
    </w:rPr>
  </w:style>
  <w:style w:type="paragraph" w:styleId="180">
    <w:name w:val="toc 1"/>
    <w:basedOn w:val="635"/>
    <w:next w:val="635"/>
    <w:uiPriority w:val="39"/>
    <w:unhideWhenUsed/>
    <w:pPr>
      <w:ind w:left="0" w:right="0" w:firstLine="0"/>
      <w:spacing w:after="57"/>
    </w:pPr>
  </w:style>
  <w:style w:type="paragraph" w:styleId="182">
    <w:name w:val="toc 3"/>
    <w:basedOn w:val="635"/>
    <w:next w:val="635"/>
    <w:uiPriority w:val="39"/>
    <w:unhideWhenUsed/>
    <w:pPr>
      <w:ind w:left="567" w:right="0" w:firstLine="0"/>
      <w:spacing w:after="57"/>
    </w:pPr>
  </w:style>
  <w:style w:type="paragraph" w:styleId="183">
    <w:name w:val="toc 4"/>
    <w:basedOn w:val="635"/>
    <w:next w:val="635"/>
    <w:uiPriority w:val="39"/>
    <w:unhideWhenUsed/>
    <w:pPr>
      <w:ind w:left="850" w:right="0" w:firstLine="0"/>
      <w:spacing w:after="57"/>
    </w:pPr>
  </w:style>
  <w:style w:type="paragraph" w:styleId="184">
    <w:name w:val="toc 5"/>
    <w:basedOn w:val="635"/>
    <w:next w:val="635"/>
    <w:uiPriority w:val="39"/>
    <w:unhideWhenUsed/>
    <w:pPr>
      <w:ind w:left="1134" w:right="0" w:firstLine="0"/>
      <w:spacing w:after="57"/>
    </w:pPr>
  </w:style>
  <w:style w:type="paragraph" w:styleId="185">
    <w:name w:val="toc 6"/>
    <w:basedOn w:val="635"/>
    <w:next w:val="635"/>
    <w:uiPriority w:val="39"/>
    <w:unhideWhenUsed/>
    <w:pPr>
      <w:ind w:left="1417" w:right="0" w:firstLine="0"/>
      <w:spacing w:after="57"/>
    </w:pPr>
  </w:style>
  <w:style w:type="paragraph" w:styleId="186">
    <w:name w:val="toc 7"/>
    <w:basedOn w:val="635"/>
    <w:next w:val="635"/>
    <w:uiPriority w:val="39"/>
    <w:unhideWhenUsed/>
    <w:pPr>
      <w:ind w:left="1701" w:right="0" w:firstLine="0"/>
      <w:spacing w:after="57"/>
    </w:pPr>
  </w:style>
  <w:style w:type="paragraph" w:styleId="187">
    <w:name w:val="toc 8"/>
    <w:basedOn w:val="635"/>
    <w:next w:val="635"/>
    <w:uiPriority w:val="39"/>
    <w:unhideWhenUsed/>
    <w:pPr>
      <w:ind w:left="1984" w:right="0" w:firstLine="0"/>
      <w:spacing w:after="57"/>
    </w:pPr>
  </w:style>
  <w:style w:type="paragraph" w:styleId="188">
    <w:name w:val="toc 9"/>
    <w:basedOn w:val="635"/>
    <w:next w:val="63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5"/>
    <w:next w:val="635"/>
    <w:uiPriority w:val="99"/>
    <w:unhideWhenUsed/>
    <w:pPr>
      <w:spacing w:after="0" w:afterAutospacing="0"/>
    </w:pPr>
  </w:style>
  <w:style w:type="paragraph" w:styleId="635" w:default="1">
    <w:name w:val="Normal"/>
    <w:next w:val="639"/>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636">
    <w:name w:val="Heading 2"/>
    <w:basedOn w:val="635"/>
    <w:next w:val="635"/>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637" w:default="1">
    <w:name w:val="Default Paragraph Font"/>
    <w:uiPriority w:val="1"/>
    <w:semiHidden/>
    <w:unhideWhenUsed/>
    <w:qFormat/>
  </w:style>
  <w:style w:type="table" w:styleId="638" w:default="1">
    <w:name w:val="Normal Table"/>
    <w:uiPriority w:val="99"/>
    <w:semiHidden/>
    <w:unhideWhenUsed/>
    <w:qFormat/>
    <w:tblPr>
      <w:tblCellMar>
        <w:left w:w="108" w:type="dxa"/>
        <w:top w:w="0" w:type="dxa"/>
        <w:right w:w="108" w:type="dxa"/>
        <w:bottom w:w="0" w:type="dxa"/>
      </w:tblCellMar>
    </w:tblPr>
  </w:style>
  <w:style w:type="paragraph" w:styleId="639">
    <w:name w:val="Body Text First Indent"/>
    <w:basedOn w:val="640"/>
    <w:uiPriority w:val="99"/>
    <w:qFormat/>
    <w:pPr>
      <w:ind w:left="0" w:firstLine="420"/>
      <w:spacing w:after="120"/>
    </w:pPr>
    <w:rPr>
      <w:sz w:val="22"/>
      <w:szCs w:val="22"/>
    </w:rPr>
  </w:style>
  <w:style w:type="paragraph" w:styleId="640">
    <w:name w:val="Body Text"/>
    <w:basedOn w:val="635"/>
    <w:next w:val="641"/>
    <w:uiPriority w:val="0"/>
    <w:qFormat/>
    <w:pPr>
      <w:spacing w:after="120"/>
    </w:pPr>
    <w:rPr>
      <w:rFonts w:ascii="Times New Roman" w:hAnsi="Times New Roman"/>
      <w:szCs w:val="24"/>
    </w:rPr>
  </w:style>
  <w:style w:type="paragraph" w:styleId="641">
    <w:name w:val="toc 2"/>
    <w:basedOn w:val="635"/>
    <w:next w:val="635"/>
    <w:uiPriority w:val="39"/>
    <w:qFormat/>
    <w:pPr>
      <w:ind w:left="420"/>
    </w:pPr>
  </w:style>
  <w:style w:type="paragraph" w:styleId="642">
    <w:name w:val="annotation text"/>
    <w:basedOn w:val="635"/>
    <w:uiPriority w:val="0"/>
    <w:qFormat/>
    <w:pPr>
      <w:jc w:val="left"/>
    </w:pPr>
  </w:style>
  <w:style w:type="paragraph" w:styleId="643">
    <w:name w:val="Footer"/>
    <w:basedOn w:val="635"/>
    <w:link w:val="649"/>
    <w:uiPriority w:val="0"/>
    <w:qFormat/>
    <w:pPr>
      <w:jc w:val="left"/>
      <w:tabs>
        <w:tab w:val="center" w:pos="4153" w:leader="none"/>
        <w:tab w:val="right" w:pos="8306" w:leader="none"/>
      </w:tabs>
    </w:pPr>
    <w:rPr>
      <w:sz w:val="18"/>
      <w:szCs w:val="18"/>
    </w:rPr>
  </w:style>
  <w:style w:type="paragraph" w:styleId="644">
    <w:name w:val="Header"/>
    <w:basedOn w:val="635"/>
    <w:link w:val="648"/>
    <w:uiPriority w:val="0"/>
    <w:qFormat/>
    <w:pPr>
      <w:jc w:val="center"/>
      <w:tabs>
        <w:tab w:val="center" w:pos="4153" w:leader="none"/>
        <w:tab w:val="right" w:pos="8306" w:leader="none"/>
      </w:tabs>
      <w:pBdr>
        <w:bottom w:val="single" w:color="auto" w:sz="6" w:space="1"/>
      </w:pBdr>
    </w:pPr>
    <w:rPr>
      <w:sz w:val="18"/>
      <w:szCs w:val="18"/>
    </w:rPr>
  </w:style>
  <w:style w:type="paragraph" w:styleId="645">
    <w:name w:val="Normal (Web)"/>
    <w:basedOn w:val="635"/>
    <w:uiPriority w:val="0"/>
    <w:qFormat/>
    <w:pPr>
      <w:jc w:val="left"/>
      <w:spacing w:beforeAutospacing="1" w:afterAutospacing="1"/>
    </w:pPr>
    <w:rPr>
      <w:rFonts w:cs="Times New Roman"/>
      <w:sz w:val="24"/>
    </w:rPr>
  </w:style>
  <w:style w:type="table" w:styleId="6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647" w:customStyle="1">
    <w:name w:val="Default"/>
    <w:basedOn w:val="635"/>
    <w:uiPriority w:val="0"/>
    <w:semiHidden/>
    <w:qFormat/>
    <w:pPr>
      <w:jc w:val="left"/>
    </w:pPr>
    <w:rPr>
      <w:rFonts w:ascii="宋体" w:hAnsi="Calibri" w:cs="宋体"/>
      <w:color w:val="000000"/>
      <w:sz w:val="24"/>
    </w:rPr>
  </w:style>
  <w:style w:type="character" w:styleId="648" w:customStyle="1">
    <w:name w:val="页眉 Char"/>
    <w:basedOn w:val="637"/>
    <w:link w:val="644"/>
    <w:uiPriority w:val="0"/>
    <w:qFormat/>
    <w:rPr>
      <w:rFonts w:asciiTheme="minorHAnsi" w:hAnsiTheme="minorHAnsi" w:eastAsiaTheme="minorEastAsia" w:cstheme="minorBidi"/>
      <w:sz w:val="18"/>
      <w:szCs w:val="18"/>
    </w:rPr>
  </w:style>
  <w:style w:type="character" w:styleId="649" w:customStyle="1">
    <w:name w:val="页脚 Char"/>
    <w:basedOn w:val="637"/>
    <w:link w:val="643"/>
    <w:uiPriority w:val="0"/>
    <w:qFormat/>
    <w:rPr>
      <w:rFonts w:asciiTheme="minorHAnsi" w:hAnsiTheme="minorHAnsi" w:eastAsiaTheme="minorEastAsia" w:cstheme="minorBidi"/>
      <w:sz w:val="18"/>
      <w:szCs w:val="18"/>
    </w:rPr>
  </w:style>
  <w:style w:type="paragraph" w:styleId="650" w:customStyle="1">
    <w:name w:val="普通正文"/>
    <w:basedOn w:val="635"/>
    <w:uiPriority w:val="0"/>
    <w:qFormat/>
    <w:pPr>
      <w:ind w:firstLine="480"/>
      <w:jc w:val="left"/>
      <w:spacing w:before="120" w:after="120" w:line="360" w:lineRule="auto"/>
    </w:pPr>
    <w:rPr>
      <w:rFonts w:ascii="Arial" w:hAnsi="Arial" w:eastAsia="等线" w:cs="Arial"/>
      <w:sz w:val="24"/>
      <w:szCs w:val="24"/>
    </w:rPr>
  </w:style>
  <w:style w:type="paragraph" w:styleId="651" w:customStyle="1">
    <w:name w:val="正文首行缩进 21"/>
    <w:basedOn w:val="652"/>
    <w:uiPriority w:val="0"/>
    <w:qFormat/>
    <w:pPr>
      <w:ind w:firstLine="420"/>
    </w:pPr>
  </w:style>
  <w:style w:type="paragraph" w:styleId="652" w:customStyle="1">
    <w:name w:val="正文文本缩进1"/>
    <w:basedOn w:val="635"/>
    <w:uiPriority w:val="0"/>
    <w:qFormat/>
    <w:pPr>
      <w:ind w:left="420"/>
      <w:spacing w:after="120"/>
    </w:pPr>
  </w:style>
  <w:style w:type="paragraph" w:styleId="653" w:customStyle="1">
    <w:name w:val="普通(网站)11"/>
    <w:basedOn w:val="635"/>
    <w:uiPriority w:val="0"/>
    <w:qFormat/>
    <w:pPr>
      <w:jc w:val="left"/>
      <w:spacing w:beforeAutospacing="1" w:afterAutospacing="1"/>
    </w:pPr>
    <w:rPr>
      <w:rFonts w:cs="Times New Roman"/>
      <w:sz w:val="24"/>
    </w:rPr>
  </w:style>
  <w:style w:type="table" w:styleId="654" w:customStyle="1">
    <w:name w:val="Table Normal"/>
    <w:uiPriority w:val="0"/>
    <w:qFormat/>
    <w:tblPr>
      <w:tblCellMar>
        <w:left w:w="0" w:type="dxa"/>
        <w:top w:w="0" w:type="dxa"/>
        <w:right w:w="0" w:type="dxa"/>
        <w:bottom w:w="0" w:type="dxa"/>
      </w:tblCellMar>
    </w:tblPr>
  </w:style>
  <w:style w:type="paragraph" w:styleId="655">
    <w:name w:val="List Paragraph"/>
    <w:uiPriority w:val="34"/>
    <w:qFormat/>
    <w:pPr>
      <w:ind w:firstLine="420"/>
      <w:jc w:val="both"/>
      <w:widowControl w:val="off"/>
    </w:pPr>
    <w:rPr>
      <w:rFonts w:asciiTheme="minorHAnsi" w:hAnsiTheme="minorHAnsi" w:eastAsiaTheme="minorEastAsia" w:cstheme="minorBidi"/>
      <w:sz w:val="21"/>
      <w:szCs w:val="24"/>
      <w:lang w:val="en-US" w:eastAsia="zh-CN" w:bidi="ar-SA"/>
    </w:rPr>
  </w:style>
  <w:style w:type="numbering" w:styleId="81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盐城市弘盛业务</cp:lastModifiedBy>
  <cp:revision>2</cp:revision>
  <dcterms:created xsi:type="dcterms:W3CDTF">2014-10-29T12:08:00Z</dcterms:created>
  <dcterms:modified xsi:type="dcterms:W3CDTF">2025-12-24T07:45:39Z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2B8F1DAE20954F6EAFAFD8F63326DBA4_13</vt:lpwstr>
  </property>
  <property fmtid="{D5CDD505-2E9C-101B-9397-08002B2CF9AE}" pid="4" name="KSOTemplateDocerSaveRecord">
    <vt:lpwstr>eyJoZGlkIjoiMDg5MDY5M2FhOTQ5YWU0YjZmYTgxNmI5ZjQ5ZDFlZWYiLCJ1c2VySWQiOiI0OTI1MjU4NjMifQ==</vt:lpwstr>
  </property>
</Properties>
</file>